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440E" w14:textId="3227DC71" w:rsidR="00DB60C9" w:rsidRPr="00DD178D" w:rsidRDefault="00DB60C9" w:rsidP="00F91A06">
      <w:pPr>
        <w:widowControl w:val="0"/>
        <w:autoSpaceDE w:val="0"/>
        <w:autoSpaceDN w:val="0"/>
        <w:adjustRightInd w:val="0"/>
        <w:spacing w:before="59" w:after="0" w:line="240" w:lineRule="auto"/>
        <w:jc w:val="center"/>
        <w:rPr>
          <w:rFonts w:ascii="Times New Roman" w:hAnsi="Times New Roman"/>
          <w:color w:val="000000" w:themeColor="text1"/>
          <w:sz w:val="24"/>
          <w:szCs w:val="24"/>
        </w:rPr>
      </w:pPr>
      <w:r w:rsidRPr="00DD178D">
        <w:rPr>
          <w:rFonts w:ascii="Times New Roman" w:hAnsi="Times New Roman"/>
          <w:b/>
          <w:bCs/>
          <w:color w:val="000000" w:themeColor="text1"/>
          <w:sz w:val="24"/>
          <w:szCs w:val="24"/>
        </w:rPr>
        <w:t>F</w:t>
      </w:r>
      <w:r w:rsidR="00F91A06">
        <w:rPr>
          <w:rFonts w:ascii="Times New Roman" w:hAnsi="Times New Roman"/>
          <w:b/>
          <w:bCs/>
          <w:color w:val="000000" w:themeColor="text1"/>
          <w:sz w:val="24"/>
          <w:szCs w:val="24"/>
        </w:rPr>
        <w:t xml:space="preserve">iscal </w:t>
      </w:r>
      <w:r w:rsidRPr="00DD178D">
        <w:rPr>
          <w:rFonts w:ascii="Times New Roman" w:hAnsi="Times New Roman"/>
          <w:b/>
          <w:bCs/>
          <w:color w:val="000000" w:themeColor="text1"/>
          <w:sz w:val="24"/>
          <w:szCs w:val="24"/>
        </w:rPr>
        <w:t>Y</w:t>
      </w:r>
      <w:r w:rsidR="00F91A06">
        <w:rPr>
          <w:rFonts w:ascii="Times New Roman" w:hAnsi="Times New Roman"/>
          <w:b/>
          <w:bCs/>
          <w:color w:val="000000" w:themeColor="text1"/>
          <w:sz w:val="24"/>
          <w:szCs w:val="24"/>
        </w:rPr>
        <w:t>ear</w:t>
      </w:r>
      <w:r w:rsidR="00F91A06">
        <w:rPr>
          <w:rFonts w:ascii="Times New Roman" w:hAnsi="Times New Roman"/>
          <w:b/>
          <w:bCs/>
          <w:color w:val="000000" w:themeColor="text1"/>
          <w:spacing w:val="1"/>
          <w:sz w:val="24"/>
          <w:szCs w:val="24"/>
        </w:rPr>
        <w:t xml:space="preserve"> </w:t>
      </w:r>
      <w:r w:rsidR="00852E70">
        <w:rPr>
          <w:rFonts w:ascii="Times New Roman" w:hAnsi="Times New Roman"/>
          <w:b/>
          <w:bCs/>
          <w:color w:val="000000" w:themeColor="text1"/>
          <w:spacing w:val="1"/>
          <w:sz w:val="24"/>
          <w:szCs w:val="24"/>
        </w:rPr>
        <w:t>2023</w:t>
      </w:r>
      <w:r w:rsidR="00852E70" w:rsidRPr="00DD178D">
        <w:rPr>
          <w:rFonts w:ascii="Times New Roman" w:hAnsi="Times New Roman"/>
          <w:b/>
          <w:bCs/>
          <w:color w:val="000000" w:themeColor="text1"/>
          <w:spacing w:val="-8"/>
          <w:sz w:val="24"/>
          <w:szCs w:val="24"/>
        </w:rPr>
        <w:t xml:space="preserve"> </w:t>
      </w:r>
      <w:r w:rsidRPr="00DD178D">
        <w:rPr>
          <w:rFonts w:ascii="Times New Roman" w:hAnsi="Times New Roman"/>
          <w:b/>
          <w:bCs/>
          <w:color w:val="000000" w:themeColor="text1"/>
          <w:sz w:val="24"/>
          <w:szCs w:val="24"/>
        </w:rPr>
        <w:t>F</w:t>
      </w:r>
      <w:r w:rsidRPr="00DD178D">
        <w:rPr>
          <w:rFonts w:ascii="Times New Roman" w:hAnsi="Times New Roman"/>
          <w:b/>
          <w:bCs/>
          <w:color w:val="000000" w:themeColor="text1"/>
          <w:spacing w:val="-1"/>
          <w:sz w:val="24"/>
          <w:szCs w:val="24"/>
        </w:rPr>
        <w:t>e</w:t>
      </w:r>
      <w:r w:rsidRPr="00DD178D">
        <w:rPr>
          <w:rFonts w:ascii="Times New Roman" w:hAnsi="Times New Roman"/>
          <w:b/>
          <w:bCs/>
          <w:color w:val="000000" w:themeColor="text1"/>
          <w:sz w:val="24"/>
          <w:szCs w:val="24"/>
        </w:rPr>
        <w:t>e</w:t>
      </w:r>
      <w:r w:rsidRPr="00DD178D">
        <w:rPr>
          <w:rFonts w:ascii="Times New Roman" w:hAnsi="Times New Roman"/>
          <w:b/>
          <w:bCs/>
          <w:color w:val="000000" w:themeColor="text1"/>
          <w:spacing w:val="-1"/>
          <w:sz w:val="24"/>
          <w:szCs w:val="24"/>
        </w:rPr>
        <w:t xml:space="preserve"> </w:t>
      </w:r>
      <w:r w:rsidRPr="00DD178D">
        <w:rPr>
          <w:rFonts w:ascii="Times New Roman" w:hAnsi="Times New Roman"/>
          <w:b/>
          <w:bCs/>
          <w:color w:val="000000" w:themeColor="text1"/>
          <w:sz w:val="24"/>
          <w:szCs w:val="24"/>
        </w:rPr>
        <w:t>D</w:t>
      </w:r>
      <w:r w:rsidRPr="00DD178D">
        <w:rPr>
          <w:rFonts w:ascii="Times New Roman" w:hAnsi="Times New Roman"/>
          <w:b/>
          <w:bCs/>
          <w:color w:val="000000" w:themeColor="text1"/>
          <w:spacing w:val="-1"/>
          <w:sz w:val="24"/>
          <w:szCs w:val="24"/>
        </w:rPr>
        <w:t>e</w:t>
      </w:r>
      <w:r w:rsidRPr="00DD178D">
        <w:rPr>
          <w:rFonts w:ascii="Times New Roman" w:hAnsi="Times New Roman"/>
          <w:b/>
          <w:bCs/>
          <w:color w:val="000000" w:themeColor="text1"/>
          <w:spacing w:val="1"/>
          <w:sz w:val="24"/>
          <w:szCs w:val="24"/>
        </w:rPr>
        <w:t>t</w:t>
      </w:r>
      <w:r w:rsidRPr="00DD178D">
        <w:rPr>
          <w:rFonts w:ascii="Times New Roman" w:hAnsi="Times New Roman"/>
          <w:b/>
          <w:bCs/>
          <w:color w:val="000000" w:themeColor="text1"/>
          <w:spacing w:val="-1"/>
          <w:sz w:val="24"/>
          <w:szCs w:val="24"/>
        </w:rPr>
        <w:t>e</w:t>
      </w:r>
      <w:r w:rsidRPr="00DD178D">
        <w:rPr>
          <w:rFonts w:ascii="Times New Roman" w:hAnsi="Times New Roman"/>
          <w:b/>
          <w:bCs/>
          <w:color w:val="000000" w:themeColor="text1"/>
          <w:spacing w:val="1"/>
          <w:sz w:val="24"/>
          <w:szCs w:val="24"/>
        </w:rPr>
        <w:t>r</w:t>
      </w:r>
      <w:r w:rsidRPr="00DD178D">
        <w:rPr>
          <w:rFonts w:ascii="Times New Roman" w:hAnsi="Times New Roman"/>
          <w:b/>
          <w:bCs/>
          <w:color w:val="000000" w:themeColor="text1"/>
          <w:spacing w:val="-1"/>
          <w:sz w:val="24"/>
          <w:szCs w:val="24"/>
        </w:rPr>
        <w:t>m</w:t>
      </w:r>
      <w:r w:rsidRPr="00DD178D">
        <w:rPr>
          <w:rFonts w:ascii="Times New Roman" w:hAnsi="Times New Roman"/>
          <w:b/>
          <w:bCs/>
          <w:color w:val="000000" w:themeColor="text1"/>
          <w:spacing w:val="1"/>
          <w:sz w:val="24"/>
          <w:szCs w:val="24"/>
        </w:rPr>
        <w:t>in</w:t>
      </w:r>
      <w:r w:rsidRPr="00DD178D">
        <w:rPr>
          <w:rFonts w:ascii="Times New Roman" w:hAnsi="Times New Roman"/>
          <w:b/>
          <w:bCs/>
          <w:color w:val="000000" w:themeColor="text1"/>
          <w:spacing w:val="-1"/>
          <w:sz w:val="24"/>
          <w:szCs w:val="24"/>
        </w:rPr>
        <w:t>a</w:t>
      </w:r>
      <w:r w:rsidRPr="00DD178D">
        <w:rPr>
          <w:rFonts w:ascii="Times New Roman" w:hAnsi="Times New Roman"/>
          <w:b/>
          <w:bCs/>
          <w:color w:val="000000" w:themeColor="text1"/>
          <w:spacing w:val="1"/>
          <w:sz w:val="24"/>
          <w:szCs w:val="24"/>
        </w:rPr>
        <w:t>t</w:t>
      </w:r>
      <w:r w:rsidRPr="00DD178D">
        <w:rPr>
          <w:rFonts w:ascii="Times New Roman" w:hAnsi="Times New Roman"/>
          <w:b/>
          <w:bCs/>
          <w:color w:val="000000" w:themeColor="text1"/>
          <w:spacing w:val="-1"/>
          <w:sz w:val="24"/>
          <w:szCs w:val="24"/>
        </w:rPr>
        <w:t>i</w:t>
      </w:r>
      <w:r w:rsidRPr="00DD178D">
        <w:rPr>
          <w:rFonts w:ascii="Times New Roman" w:hAnsi="Times New Roman"/>
          <w:b/>
          <w:bCs/>
          <w:color w:val="000000" w:themeColor="text1"/>
          <w:spacing w:val="1"/>
          <w:sz w:val="24"/>
          <w:szCs w:val="24"/>
        </w:rPr>
        <w:t>o</w:t>
      </w:r>
      <w:r w:rsidRPr="00DD178D">
        <w:rPr>
          <w:rFonts w:ascii="Times New Roman" w:hAnsi="Times New Roman"/>
          <w:b/>
          <w:bCs/>
          <w:color w:val="000000" w:themeColor="text1"/>
          <w:sz w:val="24"/>
          <w:szCs w:val="24"/>
        </w:rPr>
        <w:t>n</w:t>
      </w:r>
      <w:r w:rsidR="00F91A06">
        <w:rPr>
          <w:rFonts w:ascii="Times New Roman" w:hAnsi="Times New Roman"/>
          <w:b/>
          <w:bCs/>
          <w:color w:val="000000" w:themeColor="text1"/>
          <w:spacing w:val="-4"/>
          <w:sz w:val="24"/>
          <w:szCs w:val="24"/>
        </w:rPr>
        <w:t xml:space="preserve"> S</w:t>
      </w:r>
      <w:r w:rsidRPr="00DD178D">
        <w:rPr>
          <w:rFonts w:ascii="Times New Roman" w:hAnsi="Times New Roman"/>
          <w:b/>
          <w:bCs/>
          <w:color w:val="000000" w:themeColor="text1"/>
          <w:sz w:val="24"/>
          <w:szCs w:val="24"/>
        </w:rPr>
        <w:t>c</w:t>
      </w:r>
      <w:r w:rsidRPr="00DD178D">
        <w:rPr>
          <w:rFonts w:ascii="Times New Roman" w:hAnsi="Times New Roman"/>
          <w:b/>
          <w:bCs/>
          <w:color w:val="000000" w:themeColor="text1"/>
          <w:spacing w:val="-2"/>
          <w:w w:val="99"/>
          <w:sz w:val="24"/>
          <w:szCs w:val="24"/>
        </w:rPr>
        <w:t>o</w:t>
      </w:r>
      <w:r w:rsidRPr="00DD178D">
        <w:rPr>
          <w:rFonts w:ascii="Times New Roman" w:hAnsi="Times New Roman"/>
          <w:b/>
          <w:bCs/>
          <w:color w:val="000000" w:themeColor="text1"/>
          <w:spacing w:val="1"/>
          <w:sz w:val="24"/>
          <w:szCs w:val="24"/>
        </w:rPr>
        <w:t>r</w:t>
      </w:r>
      <w:r w:rsidRPr="00DD178D">
        <w:rPr>
          <w:rFonts w:ascii="Times New Roman" w:hAnsi="Times New Roman"/>
          <w:b/>
          <w:bCs/>
          <w:color w:val="000000" w:themeColor="text1"/>
          <w:spacing w:val="-1"/>
          <w:sz w:val="24"/>
          <w:szCs w:val="24"/>
        </w:rPr>
        <w:t>e</w:t>
      </w:r>
      <w:r w:rsidRPr="00DD178D">
        <w:rPr>
          <w:rFonts w:ascii="Times New Roman" w:hAnsi="Times New Roman"/>
          <w:b/>
          <w:bCs/>
          <w:color w:val="000000" w:themeColor="text1"/>
          <w:sz w:val="24"/>
          <w:szCs w:val="24"/>
        </w:rPr>
        <w:t>c</w:t>
      </w:r>
      <w:r w:rsidRPr="00DD178D">
        <w:rPr>
          <w:rFonts w:ascii="Times New Roman" w:hAnsi="Times New Roman"/>
          <w:b/>
          <w:bCs/>
          <w:color w:val="000000" w:themeColor="text1"/>
          <w:spacing w:val="-1"/>
          <w:w w:val="99"/>
          <w:sz w:val="24"/>
          <w:szCs w:val="24"/>
        </w:rPr>
        <w:t>a</w:t>
      </w:r>
      <w:r w:rsidRPr="00DD178D">
        <w:rPr>
          <w:rFonts w:ascii="Times New Roman" w:hAnsi="Times New Roman"/>
          <w:b/>
          <w:bCs/>
          <w:color w:val="000000" w:themeColor="text1"/>
          <w:spacing w:val="1"/>
          <w:sz w:val="24"/>
          <w:szCs w:val="24"/>
        </w:rPr>
        <w:t>r</w:t>
      </w:r>
      <w:r w:rsidRPr="00DD178D">
        <w:rPr>
          <w:rFonts w:ascii="Times New Roman" w:hAnsi="Times New Roman"/>
          <w:b/>
          <w:bCs/>
          <w:color w:val="000000" w:themeColor="text1"/>
          <w:w w:val="99"/>
          <w:sz w:val="24"/>
          <w:szCs w:val="24"/>
        </w:rPr>
        <w:t>d</w:t>
      </w:r>
    </w:p>
    <w:p w14:paraId="3944C127" w14:textId="77777777" w:rsidR="00DB60C9" w:rsidRPr="00DD178D" w:rsidRDefault="00DB60C9">
      <w:pPr>
        <w:widowControl w:val="0"/>
        <w:autoSpaceDE w:val="0"/>
        <w:autoSpaceDN w:val="0"/>
        <w:adjustRightInd w:val="0"/>
        <w:spacing w:before="2" w:after="0" w:line="240" w:lineRule="exact"/>
        <w:rPr>
          <w:rFonts w:ascii="Calibri" w:hAnsi="Calibri" w:cs="Calibri"/>
          <w:color w:val="000000" w:themeColor="text1"/>
          <w:sz w:val="24"/>
          <w:szCs w:val="24"/>
        </w:rPr>
      </w:pPr>
    </w:p>
    <w:p w14:paraId="1DB2B695" w14:textId="77777777" w:rsidR="00DB60C9" w:rsidRPr="00DD178D" w:rsidRDefault="00DB60C9" w:rsidP="006F02DB">
      <w:pPr>
        <w:widowControl w:val="0"/>
        <w:autoSpaceDE w:val="0"/>
        <w:autoSpaceDN w:val="0"/>
        <w:adjustRightInd w:val="0"/>
        <w:spacing w:after="0" w:line="240" w:lineRule="auto"/>
        <w:ind w:right="-20"/>
        <w:rPr>
          <w:rFonts w:ascii="Times New Roman" w:hAnsi="Times New Roman"/>
          <w:color w:val="000000" w:themeColor="text1"/>
        </w:rPr>
      </w:pPr>
      <w:r w:rsidRPr="00DD178D">
        <w:rPr>
          <w:rFonts w:ascii="Times New Roman" w:hAnsi="Times New Roman"/>
          <w:b/>
          <w:bCs/>
          <w:color w:val="000000" w:themeColor="text1"/>
          <w:spacing w:val="1"/>
        </w:rPr>
        <w:t>C</w:t>
      </w:r>
      <w:r w:rsidRPr="00DD178D">
        <w:rPr>
          <w:rFonts w:ascii="Times New Roman" w:hAnsi="Times New Roman"/>
          <w:b/>
          <w:bCs/>
          <w:color w:val="000000" w:themeColor="text1"/>
          <w:spacing w:val="-1"/>
        </w:rPr>
        <w:t>on</w:t>
      </w:r>
      <w:r w:rsidRPr="00DD178D">
        <w:rPr>
          <w:rFonts w:ascii="Times New Roman" w:hAnsi="Times New Roman"/>
          <w:b/>
          <w:bCs/>
          <w:color w:val="000000" w:themeColor="text1"/>
        </w:rPr>
        <w:t>t</w:t>
      </w:r>
      <w:r w:rsidRPr="00DD178D">
        <w:rPr>
          <w:rFonts w:ascii="Times New Roman" w:hAnsi="Times New Roman"/>
          <w:b/>
          <w:bCs/>
          <w:color w:val="000000" w:themeColor="text1"/>
          <w:spacing w:val="1"/>
        </w:rPr>
        <w:t>r</w:t>
      </w:r>
      <w:r w:rsidRPr="00DD178D">
        <w:rPr>
          <w:rFonts w:ascii="Times New Roman" w:hAnsi="Times New Roman"/>
          <w:b/>
          <w:bCs/>
          <w:color w:val="000000" w:themeColor="text1"/>
          <w:spacing w:val="-1"/>
        </w:rPr>
        <w:t>a</w:t>
      </w:r>
      <w:r w:rsidRPr="00DD178D">
        <w:rPr>
          <w:rFonts w:ascii="Times New Roman" w:hAnsi="Times New Roman"/>
          <w:b/>
          <w:bCs/>
          <w:color w:val="000000" w:themeColor="text1"/>
          <w:spacing w:val="1"/>
        </w:rPr>
        <w:t>c</w:t>
      </w:r>
      <w:r w:rsidRPr="00DD178D">
        <w:rPr>
          <w:rFonts w:ascii="Times New Roman" w:hAnsi="Times New Roman"/>
          <w:b/>
          <w:bCs/>
          <w:color w:val="000000" w:themeColor="text1"/>
        </w:rPr>
        <w:t>t</w:t>
      </w:r>
      <w:r w:rsidRPr="00DD178D">
        <w:rPr>
          <w:rFonts w:ascii="Times New Roman" w:hAnsi="Times New Roman"/>
          <w:b/>
          <w:bCs/>
          <w:color w:val="000000" w:themeColor="text1"/>
          <w:spacing w:val="-1"/>
        </w:rPr>
        <w:t>o</w:t>
      </w:r>
      <w:r w:rsidRPr="00DD178D">
        <w:rPr>
          <w:rFonts w:ascii="Times New Roman" w:hAnsi="Times New Roman"/>
          <w:b/>
          <w:bCs/>
          <w:color w:val="000000" w:themeColor="text1"/>
          <w:spacing w:val="1"/>
        </w:rPr>
        <w:t>r</w:t>
      </w:r>
      <w:r w:rsidRPr="00DD178D">
        <w:rPr>
          <w:rFonts w:ascii="Times New Roman" w:hAnsi="Times New Roman"/>
          <w:b/>
          <w:bCs/>
          <w:color w:val="000000" w:themeColor="text1"/>
        </w:rPr>
        <w:t>:</w:t>
      </w:r>
      <w:r w:rsidRPr="00DD178D">
        <w:rPr>
          <w:rFonts w:ascii="Times New Roman" w:hAnsi="Times New Roman"/>
          <w:b/>
          <w:bCs/>
          <w:color w:val="000000" w:themeColor="text1"/>
          <w:spacing w:val="-1"/>
        </w:rPr>
        <w:t xml:space="preserve"> </w:t>
      </w:r>
      <w:r w:rsidR="00C15031" w:rsidRPr="00DD178D">
        <w:rPr>
          <w:rFonts w:ascii="Times New Roman" w:hAnsi="Times New Roman"/>
          <w:bCs/>
          <w:color w:val="000000" w:themeColor="text1"/>
          <w:spacing w:val="-1"/>
        </w:rPr>
        <w:t>Navarro Research and Engineering, Inc.</w:t>
      </w:r>
    </w:p>
    <w:p w14:paraId="6C133B8E" w14:textId="77777777" w:rsidR="00BD5B95" w:rsidRPr="00DD178D" w:rsidRDefault="00DB60C9" w:rsidP="006F02DB">
      <w:pPr>
        <w:widowControl w:val="0"/>
        <w:autoSpaceDE w:val="0"/>
        <w:autoSpaceDN w:val="0"/>
        <w:adjustRightInd w:val="0"/>
        <w:spacing w:before="38" w:after="0" w:line="240" w:lineRule="auto"/>
        <w:ind w:right="-20"/>
        <w:rPr>
          <w:rFonts w:ascii="Times New Roman" w:hAnsi="Times New Roman"/>
          <w:bCs/>
          <w:color w:val="000000" w:themeColor="text1"/>
          <w:spacing w:val="-3"/>
        </w:rPr>
      </w:pPr>
      <w:r w:rsidRPr="00DD178D">
        <w:rPr>
          <w:rFonts w:ascii="Times New Roman" w:hAnsi="Times New Roman"/>
          <w:b/>
          <w:bCs/>
          <w:color w:val="000000" w:themeColor="text1"/>
          <w:spacing w:val="1"/>
        </w:rPr>
        <w:t>C</w:t>
      </w:r>
      <w:r w:rsidRPr="00DD178D">
        <w:rPr>
          <w:rFonts w:ascii="Times New Roman" w:hAnsi="Times New Roman"/>
          <w:b/>
          <w:bCs/>
          <w:color w:val="000000" w:themeColor="text1"/>
          <w:spacing w:val="-1"/>
        </w:rPr>
        <w:t>on</w:t>
      </w:r>
      <w:r w:rsidRPr="00DD178D">
        <w:rPr>
          <w:rFonts w:ascii="Times New Roman" w:hAnsi="Times New Roman"/>
          <w:b/>
          <w:bCs/>
          <w:color w:val="000000" w:themeColor="text1"/>
        </w:rPr>
        <w:t>t</w:t>
      </w:r>
      <w:r w:rsidRPr="00DD178D">
        <w:rPr>
          <w:rFonts w:ascii="Times New Roman" w:hAnsi="Times New Roman"/>
          <w:b/>
          <w:bCs/>
          <w:color w:val="000000" w:themeColor="text1"/>
          <w:spacing w:val="1"/>
        </w:rPr>
        <w:t>r</w:t>
      </w:r>
      <w:r w:rsidRPr="00DD178D">
        <w:rPr>
          <w:rFonts w:ascii="Times New Roman" w:hAnsi="Times New Roman"/>
          <w:b/>
          <w:bCs/>
          <w:color w:val="000000" w:themeColor="text1"/>
          <w:spacing w:val="-1"/>
        </w:rPr>
        <w:t>a</w:t>
      </w:r>
      <w:r w:rsidRPr="00DD178D">
        <w:rPr>
          <w:rFonts w:ascii="Times New Roman" w:hAnsi="Times New Roman"/>
          <w:b/>
          <w:bCs/>
          <w:color w:val="000000" w:themeColor="text1"/>
          <w:spacing w:val="1"/>
        </w:rPr>
        <w:t>c</w:t>
      </w:r>
      <w:r w:rsidRPr="00DD178D">
        <w:rPr>
          <w:rFonts w:ascii="Times New Roman" w:hAnsi="Times New Roman"/>
          <w:b/>
          <w:bCs/>
          <w:color w:val="000000" w:themeColor="text1"/>
        </w:rPr>
        <w:t>t:</w:t>
      </w:r>
      <w:r w:rsidRPr="00DD178D">
        <w:rPr>
          <w:rFonts w:ascii="Times New Roman" w:hAnsi="Times New Roman"/>
          <w:b/>
          <w:bCs/>
          <w:color w:val="000000" w:themeColor="text1"/>
          <w:spacing w:val="-3"/>
        </w:rPr>
        <w:t xml:space="preserve"> </w:t>
      </w:r>
      <w:r w:rsidR="00BD5B95" w:rsidRPr="00DD178D">
        <w:rPr>
          <w:rFonts w:ascii="Times New Roman" w:hAnsi="Times New Roman"/>
          <w:bCs/>
          <w:color w:val="000000" w:themeColor="text1"/>
          <w:spacing w:val="-3"/>
        </w:rPr>
        <w:t>Nevada Environmental Program Services (EPS)</w:t>
      </w:r>
    </w:p>
    <w:p w14:paraId="38E0B717" w14:textId="7E10AFF2" w:rsidR="00DB60C9" w:rsidRPr="00DD178D" w:rsidRDefault="00BD5B95" w:rsidP="006F02DB">
      <w:pPr>
        <w:widowControl w:val="0"/>
        <w:autoSpaceDE w:val="0"/>
        <w:autoSpaceDN w:val="0"/>
        <w:adjustRightInd w:val="0"/>
        <w:spacing w:before="38" w:after="0" w:line="240" w:lineRule="auto"/>
        <w:ind w:right="-20"/>
        <w:rPr>
          <w:rFonts w:ascii="Times New Roman" w:hAnsi="Times New Roman"/>
          <w:color w:val="000000" w:themeColor="text1"/>
        </w:rPr>
      </w:pPr>
      <w:r w:rsidRPr="00DD178D">
        <w:rPr>
          <w:rFonts w:ascii="Times New Roman" w:hAnsi="Times New Roman"/>
          <w:b/>
          <w:bCs/>
          <w:color w:val="000000" w:themeColor="text1"/>
          <w:spacing w:val="-3"/>
        </w:rPr>
        <w:t xml:space="preserve">Contract Number: </w:t>
      </w:r>
      <w:r w:rsidR="00CD02AD" w:rsidRPr="00CD02AD">
        <w:rPr>
          <w:rFonts w:ascii="Times New Roman" w:hAnsi="Times New Roman"/>
          <w:bCs/>
          <w:color w:val="000000"/>
          <w:spacing w:val="-3"/>
        </w:rPr>
        <w:t>89303320DEM000037</w:t>
      </w:r>
    </w:p>
    <w:p w14:paraId="421A63E6" w14:textId="3E2A0113" w:rsidR="00CD02AD" w:rsidRPr="00CD02AD" w:rsidRDefault="00CD02AD" w:rsidP="00CD02AD">
      <w:pPr>
        <w:widowControl w:val="0"/>
        <w:autoSpaceDE w:val="0"/>
        <w:autoSpaceDN w:val="0"/>
        <w:adjustRightInd w:val="0"/>
        <w:spacing w:before="38" w:after="0" w:line="240" w:lineRule="auto"/>
        <w:ind w:right="-20"/>
        <w:rPr>
          <w:rFonts w:ascii="Times New Roman" w:hAnsi="Times New Roman"/>
          <w:color w:val="000000"/>
        </w:rPr>
      </w:pPr>
      <w:r>
        <w:rPr>
          <w:rFonts w:ascii="Times New Roman" w:hAnsi="Times New Roman"/>
          <w:b/>
          <w:bCs/>
          <w:color w:val="000000"/>
          <w:spacing w:val="-3"/>
        </w:rPr>
        <w:t>Task Order</w:t>
      </w:r>
      <w:r w:rsidRPr="00CD02AD">
        <w:rPr>
          <w:rFonts w:ascii="Times New Roman" w:hAnsi="Times New Roman"/>
          <w:b/>
          <w:bCs/>
          <w:color w:val="000000"/>
          <w:spacing w:val="-3"/>
        </w:rPr>
        <w:t xml:space="preserve"> Number: </w:t>
      </w:r>
      <w:r w:rsidRPr="00CD02AD">
        <w:rPr>
          <w:rFonts w:ascii="Times New Roman" w:hAnsi="Times New Roman"/>
          <w:bCs/>
          <w:color w:val="000000"/>
          <w:spacing w:val="-3"/>
        </w:rPr>
        <w:t>89303321FEM400190</w:t>
      </w:r>
    </w:p>
    <w:p w14:paraId="1FDCB49D" w14:textId="452B4AE4" w:rsidR="00DB60C9" w:rsidRPr="00DD178D" w:rsidRDefault="00CD02AD" w:rsidP="006F02DB">
      <w:pPr>
        <w:widowControl w:val="0"/>
        <w:autoSpaceDE w:val="0"/>
        <w:autoSpaceDN w:val="0"/>
        <w:adjustRightInd w:val="0"/>
        <w:spacing w:before="41" w:after="0" w:line="240" w:lineRule="auto"/>
        <w:ind w:right="-20"/>
        <w:rPr>
          <w:rFonts w:ascii="Times New Roman" w:hAnsi="Times New Roman"/>
          <w:color w:val="000000" w:themeColor="text1"/>
          <w:u w:val="single"/>
        </w:rPr>
      </w:pPr>
      <w:r>
        <w:rPr>
          <w:rFonts w:ascii="Times New Roman" w:hAnsi="Times New Roman"/>
          <w:b/>
          <w:bCs/>
          <w:color w:val="000000" w:themeColor="text1"/>
          <w:spacing w:val="1"/>
        </w:rPr>
        <w:t>Evaluation</w:t>
      </w:r>
      <w:r w:rsidR="00DB60C9" w:rsidRPr="00DD178D">
        <w:rPr>
          <w:rFonts w:ascii="Times New Roman" w:hAnsi="Times New Roman"/>
          <w:b/>
          <w:bCs/>
          <w:color w:val="000000" w:themeColor="text1"/>
          <w:spacing w:val="-3"/>
        </w:rPr>
        <w:t xml:space="preserve"> </w:t>
      </w:r>
      <w:r w:rsidR="00DB60C9" w:rsidRPr="00DD178D">
        <w:rPr>
          <w:rFonts w:ascii="Times New Roman" w:hAnsi="Times New Roman"/>
          <w:b/>
          <w:bCs/>
          <w:color w:val="000000" w:themeColor="text1"/>
        </w:rPr>
        <w:t>P</w:t>
      </w:r>
      <w:r w:rsidR="00DB60C9" w:rsidRPr="00DD178D">
        <w:rPr>
          <w:rFonts w:ascii="Times New Roman" w:hAnsi="Times New Roman"/>
          <w:b/>
          <w:bCs/>
          <w:color w:val="000000" w:themeColor="text1"/>
          <w:spacing w:val="-1"/>
        </w:rPr>
        <w:t>e</w:t>
      </w:r>
      <w:r w:rsidR="00DB60C9" w:rsidRPr="00DD178D">
        <w:rPr>
          <w:rFonts w:ascii="Times New Roman" w:hAnsi="Times New Roman"/>
          <w:b/>
          <w:bCs/>
          <w:color w:val="000000" w:themeColor="text1"/>
          <w:spacing w:val="1"/>
        </w:rPr>
        <w:t>ri</w:t>
      </w:r>
      <w:r w:rsidR="00DB60C9" w:rsidRPr="00DD178D">
        <w:rPr>
          <w:rFonts w:ascii="Times New Roman" w:hAnsi="Times New Roman"/>
          <w:b/>
          <w:bCs/>
          <w:color w:val="000000" w:themeColor="text1"/>
          <w:spacing w:val="-1"/>
        </w:rPr>
        <w:t>od</w:t>
      </w:r>
      <w:r w:rsidR="00DB60C9" w:rsidRPr="00DD178D">
        <w:rPr>
          <w:rFonts w:ascii="Times New Roman" w:hAnsi="Times New Roman"/>
          <w:b/>
          <w:bCs/>
          <w:color w:val="000000" w:themeColor="text1"/>
        </w:rPr>
        <w:t>:</w:t>
      </w:r>
      <w:r w:rsidR="00C15031" w:rsidRPr="00DD178D">
        <w:rPr>
          <w:rFonts w:ascii="Times New Roman" w:hAnsi="Times New Roman"/>
          <w:b/>
          <w:bCs/>
          <w:color w:val="000000" w:themeColor="text1"/>
          <w:spacing w:val="-1"/>
        </w:rPr>
        <w:t xml:space="preserve"> </w:t>
      </w:r>
      <w:r w:rsidR="00DD178D" w:rsidRPr="00CD02AD">
        <w:rPr>
          <w:rFonts w:ascii="Times New Roman" w:hAnsi="Times New Roman"/>
          <w:bCs/>
          <w:color w:val="000000" w:themeColor="text1"/>
          <w:spacing w:val="-1"/>
        </w:rPr>
        <w:t>10/1/</w:t>
      </w:r>
      <w:r w:rsidR="00852E70" w:rsidRPr="00CD02AD">
        <w:rPr>
          <w:rFonts w:ascii="Times New Roman" w:hAnsi="Times New Roman"/>
          <w:bCs/>
          <w:color w:val="000000" w:themeColor="text1"/>
          <w:spacing w:val="-1"/>
        </w:rPr>
        <w:t>20</w:t>
      </w:r>
      <w:r w:rsidR="00852E70">
        <w:rPr>
          <w:rFonts w:ascii="Times New Roman" w:hAnsi="Times New Roman"/>
          <w:bCs/>
          <w:color w:val="000000" w:themeColor="text1"/>
          <w:spacing w:val="-1"/>
        </w:rPr>
        <w:t>22</w:t>
      </w:r>
      <w:r w:rsidR="00852E70" w:rsidRPr="00CD02AD">
        <w:rPr>
          <w:rFonts w:ascii="Times New Roman" w:hAnsi="Times New Roman"/>
          <w:bCs/>
          <w:color w:val="000000" w:themeColor="text1"/>
          <w:spacing w:val="-1"/>
        </w:rPr>
        <w:t xml:space="preserve"> </w:t>
      </w:r>
      <w:r w:rsidR="00DD178D" w:rsidRPr="00CD02AD">
        <w:rPr>
          <w:rFonts w:ascii="Times New Roman" w:hAnsi="Times New Roman"/>
          <w:bCs/>
          <w:color w:val="000000" w:themeColor="text1"/>
          <w:spacing w:val="-1"/>
        </w:rPr>
        <w:t xml:space="preserve">– </w:t>
      </w:r>
      <w:r>
        <w:rPr>
          <w:rFonts w:ascii="Times New Roman" w:hAnsi="Times New Roman"/>
          <w:bCs/>
          <w:color w:val="000000" w:themeColor="text1"/>
          <w:spacing w:val="-1"/>
        </w:rPr>
        <w:t>9/30/</w:t>
      </w:r>
      <w:r w:rsidR="00852E70">
        <w:rPr>
          <w:rFonts w:ascii="Times New Roman" w:hAnsi="Times New Roman"/>
          <w:bCs/>
          <w:color w:val="000000" w:themeColor="text1"/>
          <w:spacing w:val="-1"/>
        </w:rPr>
        <w:t>2023</w:t>
      </w:r>
    </w:p>
    <w:p w14:paraId="7109BAE8" w14:textId="6ED3C697" w:rsidR="00BD5B95" w:rsidRPr="00DD178D" w:rsidRDefault="00DB60C9" w:rsidP="00DD178D">
      <w:pPr>
        <w:widowControl w:val="0"/>
        <w:autoSpaceDE w:val="0"/>
        <w:autoSpaceDN w:val="0"/>
        <w:adjustRightInd w:val="0"/>
        <w:spacing w:before="41" w:after="0" w:line="240" w:lineRule="auto"/>
        <w:ind w:right="-20"/>
        <w:rPr>
          <w:rFonts w:ascii="Times New Roman" w:hAnsi="Times New Roman"/>
          <w:b/>
          <w:bCs/>
          <w:color w:val="000000" w:themeColor="text1"/>
          <w:spacing w:val="1"/>
          <w:highlight w:val="yellow"/>
        </w:rPr>
      </w:pPr>
      <w:r w:rsidRPr="00DD178D">
        <w:rPr>
          <w:rFonts w:ascii="Times New Roman" w:hAnsi="Times New Roman"/>
          <w:b/>
          <w:bCs/>
          <w:color w:val="000000" w:themeColor="text1"/>
          <w:spacing w:val="1"/>
        </w:rPr>
        <w:t>B</w:t>
      </w:r>
      <w:r w:rsidRPr="00DD178D">
        <w:rPr>
          <w:rFonts w:ascii="Times New Roman" w:hAnsi="Times New Roman"/>
          <w:b/>
          <w:bCs/>
          <w:color w:val="000000" w:themeColor="text1"/>
          <w:spacing w:val="-1"/>
        </w:rPr>
        <w:t>a</w:t>
      </w:r>
      <w:r w:rsidRPr="00DD178D">
        <w:rPr>
          <w:rFonts w:ascii="Times New Roman" w:hAnsi="Times New Roman"/>
          <w:b/>
          <w:bCs/>
          <w:color w:val="000000" w:themeColor="text1"/>
          <w:spacing w:val="1"/>
        </w:rPr>
        <w:t>s</w:t>
      </w:r>
      <w:r w:rsidRPr="00DD178D">
        <w:rPr>
          <w:rFonts w:ascii="Times New Roman" w:hAnsi="Times New Roman"/>
          <w:b/>
          <w:bCs/>
          <w:color w:val="000000" w:themeColor="text1"/>
          <w:spacing w:val="-1"/>
        </w:rPr>
        <w:t>i</w:t>
      </w:r>
      <w:r w:rsidRPr="00DD178D">
        <w:rPr>
          <w:rFonts w:ascii="Times New Roman" w:hAnsi="Times New Roman"/>
          <w:b/>
          <w:bCs/>
          <w:color w:val="000000" w:themeColor="text1"/>
        </w:rPr>
        <w:t>s</w:t>
      </w:r>
      <w:r w:rsidRPr="00DD178D">
        <w:rPr>
          <w:rFonts w:ascii="Times New Roman" w:hAnsi="Times New Roman"/>
          <w:b/>
          <w:bCs/>
          <w:color w:val="000000" w:themeColor="text1"/>
          <w:spacing w:val="1"/>
        </w:rPr>
        <w:t xml:space="preserve"> </w:t>
      </w:r>
      <w:r w:rsidRPr="00DD178D">
        <w:rPr>
          <w:rFonts w:ascii="Times New Roman" w:hAnsi="Times New Roman"/>
          <w:b/>
          <w:bCs/>
          <w:color w:val="000000" w:themeColor="text1"/>
          <w:spacing w:val="-1"/>
        </w:rPr>
        <w:t>o</w:t>
      </w:r>
      <w:r w:rsidRPr="00DD178D">
        <w:rPr>
          <w:rFonts w:ascii="Times New Roman" w:hAnsi="Times New Roman"/>
          <w:b/>
          <w:bCs/>
          <w:color w:val="000000" w:themeColor="text1"/>
        </w:rPr>
        <w:t xml:space="preserve">f </w:t>
      </w:r>
      <w:r w:rsidRPr="00DD178D">
        <w:rPr>
          <w:rFonts w:ascii="Times New Roman" w:hAnsi="Times New Roman"/>
          <w:b/>
          <w:bCs/>
          <w:color w:val="000000" w:themeColor="text1"/>
          <w:spacing w:val="-2"/>
        </w:rPr>
        <w:t>E</w:t>
      </w:r>
      <w:r w:rsidRPr="00DD178D">
        <w:rPr>
          <w:rFonts w:ascii="Times New Roman" w:hAnsi="Times New Roman"/>
          <w:b/>
          <w:bCs/>
          <w:color w:val="000000" w:themeColor="text1"/>
          <w:spacing w:val="1"/>
        </w:rPr>
        <w:t>v</w:t>
      </w:r>
      <w:r w:rsidRPr="00DD178D">
        <w:rPr>
          <w:rFonts w:ascii="Times New Roman" w:hAnsi="Times New Roman"/>
          <w:b/>
          <w:bCs/>
          <w:color w:val="000000" w:themeColor="text1"/>
          <w:spacing w:val="-1"/>
        </w:rPr>
        <w:t>a</w:t>
      </w:r>
      <w:r w:rsidRPr="00DD178D">
        <w:rPr>
          <w:rFonts w:ascii="Times New Roman" w:hAnsi="Times New Roman"/>
          <w:b/>
          <w:bCs/>
          <w:color w:val="000000" w:themeColor="text1"/>
          <w:spacing w:val="1"/>
        </w:rPr>
        <w:t>l</w:t>
      </w:r>
      <w:r w:rsidRPr="00DD178D">
        <w:rPr>
          <w:rFonts w:ascii="Times New Roman" w:hAnsi="Times New Roman"/>
          <w:b/>
          <w:bCs/>
          <w:color w:val="000000" w:themeColor="text1"/>
          <w:spacing w:val="-1"/>
        </w:rPr>
        <w:t>ua</w:t>
      </w:r>
      <w:r w:rsidRPr="00DD178D">
        <w:rPr>
          <w:rFonts w:ascii="Times New Roman" w:hAnsi="Times New Roman"/>
          <w:b/>
          <w:bCs/>
          <w:color w:val="000000" w:themeColor="text1"/>
        </w:rPr>
        <w:t>t</w:t>
      </w:r>
      <w:r w:rsidRPr="00DD178D">
        <w:rPr>
          <w:rFonts w:ascii="Times New Roman" w:hAnsi="Times New Roman"/>
          <w:b/>
          <w:bCs/>
          <w:color w:val="000000" w:themeColor="text1"/>
          <w:spacing w:val="1"/>
        </w:rPr>
        <w:t>i</w:t>
      </w:r>
      <w:r w:rsidRPr="00DD178D">
        <w:rPr>
          <w:rFonts w:ascii="Times New Roman" w:hAnsi="Times New Roman"/>
          <w:b/>
          <w:bCs/>
          <w:color w:val="000000" w:themeColor="text1"/>
          <w:spacing w:val="-1"/>
        </w:rPr>
        <w:t>on</w:t>
      </w:r>
      <w:r w:rsidRPr="00DD178D">
        <w:rPr>
          <w:rFonts w:ascii="Times New Roman" w:hAnsi="Times New Roman"/>
          <w:b/>
          <w:bCs/>
          <w:color w:val="000000" w:themeColor="text1"/>
        </w:rPr>
        <w:t xml:space="preserve">: </w:t>
      </w:r>
      <w:r w:rsidRPr="00DD178D">
        <w:rPr>
          <w:rFonts w:ascii="Times New Roman" w:hAnsi="Times New Roman"/>
          <w:color w:val="000000" w:themeColor="text1"/>
          <w:spacing w:val="-1"/>
        </w:rPr>
        <w:t>P</w:t>
      </w:r>
      <w:r w:rsidRPr="00DD178D">
        <w:rPr>
          <w:rFonts w:ascii="Times New Roman" w:hAnsi="Times New Roman"/>
          <w:color w:val="000000" w:themeColor="text1"/>
          <w:spacing w:val="1"/>
        </w:rPr>
        <w:t>e</w:t>
      </w:r>
      <w:r w:rsidRPr="00DD178D">
        <w:rPr>
          <w:rFonts w:ascii="Times New Roman" w:hAnsi="Times New Roman"/>
          <w:color w:val="000000" w:themeColor="text1"/>
        </w:rPr>
        <w:t>r</w:t>
      </w:r>
      <w:r w:rsidRPr="00DD178D">
        <w:rPr>
          <w:rFonts w:ascii="Times New Roman" w:hAnsi="Times New Roman"/>
          <w:color w:val="000000" w:themeColor="text1"/>
          <w:spacing w:val="-3"/>
        </w:rPr>
        <w:t>f</w:t>
      </w:r>
      <w:r w:rsidRPr="00DD178D">
        <w:rPr>
          <w:rFonts w:ascii="Times New Roman" w:hAnsi="Times New Roman"/>
          <w:color w:val="000000" w:themeColor="text1"/>
          <w:spacing w:val="1"/>
        </w:rPr>
        <w:t>o</w:t>
      </w:r>
      <w:r w:rsidRPr="00DD178D">
        <w:rPr>
          <w:rFonts w:ascii="Times New Roman" w:hAnsi="Times New Roman"/>
          <w:color w:val="000000" w:themeColor="text1"/>
          <w:spacing w:val="-3"/>
        </w:rPr>
        <w:t>r</w:t>
      </w:r>
      <w:r w:rsidRPr="00DD178D">
        <w:rPr>
          <w:rFonts w:ascii="Times New Roman" w:hAnsi="Times New Roman"/>
          <w:color w:val="000000" w:themeColor="text1"/>
          <w:spacing w:val="1"/>
        </w:rPr>
        <w:t>m</w:t>
      </w:r>
      <w:r w:rsidRPr="00DD178D">
        <w:rPr>
          <w:rFonts w:ascii="Times New Roman" w:hAnsi="Times New Roman"/>
          <w:color w:val="000000" w:themeColor="text1"/>
        </w:rPr>
        <w:t>a</w:t>
      </w:r>
      <w:r w:rsidRPr="00DD178D">
        <w:rPr>
          <w:rFonts w:ascii="Times New Roman" w:hAnsi="Times New Roman"/>
          <w:color w:val="000000" w:themeColor="text1"/>
          <w:spacing w:val="-1"/>
        </w:rPr>
        <w:t>n</w:t>
      </w:r>
      <w:r w:rsidR="00BD5B95" w:rsidRPr="00DD178D">
        <w:rPr>
          <w:rFonts w:ascii="Times New Roman" w:hAnsi="Times New Roman"/>
          <w:color w:val="000000" w:themeColor="text1"/>
        </w:rPr>
        <w:t>ce</w:t>
      </w:r>
      <w:r w:rsidR="00CD02AD">
        <w:rPr>
          <w:rFonts w:ascii="Times New Roman" w:hAnsi="Times New Roman"/>
          <w:color w:val="000000" w:themeColor="text1"/>
        </w:rPr>
        <w:t xml:space="preserve"> Evaluation and Measurement</w:t>
      </w:r>
      <w:r w:rsidR="00BD5B95" w:rsidRPr="00DD178D">
        <w:rPr>
          <w:rFonts w:ascii="Times New Roman" w:hAnsi="Times New Roman"/>
          <w:color w:val="000000" w:themeColor="text1"/>
        </w:rPr>
        <w:t xml:space="preserve"> Plan</w:t>
      </w:r>
      <w:r w:rsidR="00D51518">
        <w:rPr>
          <w:rFonts w:ascii="Times New Roman" w:hAnsi="Times New Roman"/>
          <w:color w:val="000000" w:themeColor="text1"/>
        </w:rPr>
        <w:t xml:space="preserve"> (PEMP)</w:t>
      </w:r>
      <w:r w:rsidRPr="00DD178D">
        <w:rPr>
          <w:rFonts w:ascii="Times New Roman" w:hAnsi="Times New Roman"/>
          <w:color w:val="000000" w:themeColor="text1"/>
          <w:spacing w:val="1"/>
        </w:rPr>
        <w:t xml:space="preserve"> </w:t>
      </w:r>
      <w:r w:rsidR="0040040F">
        <w:rPr>
          <w:rFonts w:ascii="Times New Roman" w:hAnsi="Times New Roman"/>
          <w:color w:val="000000" w:themeColor="text1"/>
          <w:spacing w:val="1"/>
        </w:rPr>
        <w:t xml:space="preserve">for </w:t>
      </w:r>
      <w:r w:rsidR="00D51518">
        <w:rPr>
          <w:rFonts w:ascii="Times New Roman" w:hAnsi="Times New Roman"/>
          <w:color w:val="000000" w:themeColor="text1"/>
          <w:spacing w:val="1"/>
        </w:rPr>
        <w:t xml:space="preserve">October 1, </w:t>
      </w:r>
      <w:proofErr w:type="gramStart"/>
      <w:r w:rsidR="00D51518">
        <w:rPr>
          <w:rFonts w:ascii="Times New Roman" w:hAnsi="Times New Roman"/>
          <w:color w:val="000000" w:themeColor="text1"/>
          <w:spacing w:val="1"/>
        </w:rPr>
        <w:t>2022</w:t>
      </w:r>
      <w:proofErr w:type="gramEnd"/>
      <w:r w:rsidR="00D51518">
        <w:rPr>
          <w:rFonts w:ascii="Times New Roman" w:hAnsi="Times New Roman"/>
          <w:color w:val="000000" w:themeColor="text1"/>
          <w:spacing w:val="1"/>
        </w:rPr>
        <w:t xml:space="preserve"> through September 30, 2023</w:t>
      </w:r>
    </w:p>
    <w:p w14:paraId="1D544840" w14:textId="77777777" w:rsidR="00DB60C9" w:rsidRPr="00DD178D" w:rsidRDefault="00DB60C9">
      <w:pPr>
        <w:widowControl w:val="0"/>
        <w:autoSpaceDE w:val="0"/>
        <w:autoSpaceDN w:val="0"/>
        <w:adjustRightInd w:val="0"/>
        <w:spacing w:before="9" w:after="0" w:line="150" w:lineRule="exact"/>
        <w:rPr>
          <w:rFonts w:ascii="Calibri" w:hAnsi="Calibri" w:cs="Calibri"/>
          <w:color w:val="FF0000"/>
          <w:sz w:val="15"/>
          <w:szCs w:val="15"/>
        </w:rPr>
      </w:pPr>
    </w:p>
    <w:p w14:paraId="36761368" w14:textId="5E3BBCDE" w:rsidR="00D51518" w:rsidRPr="00803F3A" w:rsidRDefault="00D51518" w:rsidP="00803F3A">
      <w:pPr>
        <w:pStyle w:val="Default"/>
        <w:jc w:val="center"/>
        <w:rPr>
          <w:b/>
          <w:bCs/>
          <w:color w:val="000000" w:themeColor="text1"/>
          <w:sz w:val="22"/>
          <w:szCs w:val="22"/>
        </w:rPr>
      </w:pPr>
      <w:r>
        <w:rPr>
          <w:b/>
          <w:bCs/>
          <w:color w:val="000000" w:themeColor="text1"/>
          <w:sz w:val="22"/>
          <w:szCs w:val="22"/>
        </w:rPr>
        <w:t>Overall (Subjective and Objective) Fee Earned</w:t>
      </w:r>
    </w:p>
    <w:tbl>
      <w:tblPr>
        <w:tblStyle w:val="GridTable4-Accent1"/>
        <w:tblW w:w="0" w:type="auto"/>
        <w:jc w:val="center"/>
        <w:tblLook w:val="04A0" w:firstRow="1" w:lastRow="0" w:firstColumn="1" w:lastColumn="0" w:noHBand="0" w:noVBand="1"/>
      </w:tblPr>
      <w:tblGrid>
        <w:gridCol w:w="3505"/>
        <w:gridCol w:w="2070"/>
        <w:gridCol w:w="2880"/>
      </w:tblGrid>
      <w:tr w:rsidR="00A0153C" w14:paraId="694D6E71" w14:textId="77777777" w:rsidTr="1A62F9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bottom"/>
          </w:tcPr>
          <w:p w14:paraId="20423C0B" w14:textId="6435FC63" w:rsidR="00D51518" w:rsidRPr="00803F3A" w:rsidRDefault="00D51518" w:rsidP="00803F3A">
            <w:pPr>
              <w:pStyle w:val="Default"/>
              <w:jc w:val="center"/>
              <w:rPr>
                <w:color w:val="FFFFFF" w:themeColor="background1"/>
                <w:sz w:val="22"/>
                <w:szCs w:val="22"/>
              </w:rPr>
            </w:pPr>
            <w:r w:rsidRPr="00803F3A">
              <w:rPr>
                <w:color w:val="FFFFFF" w:themeColor="background1"/>
                <w:sz w:val="22"/>
                <w:szCs w:val="22"/>
              </w:rPr>
              <w:t>PEMP Fee Type</w:t>
            </w:r>
          </w:p>
        </w:tc>
        <w:tc>
          <w:tcPr>
            <w:tcW w:w="2070" w:type="dxa"/>
            <w:vAlign w:val="bottom"/>
          </w:tcPr>
          <w:p w14:paraId="28062A92" w14:textId="17CA4B60" w:rsidR="00D51518" w:rsidRPr="00803F3A" w:rsidRDefault="00D51518" w:rsidP="00803F3A">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803F3A">
              <w:rPr>
                <w:color w:val="FFFFFF" w:themeColor="background1"/>
                <w:sz w:val="22"/>
                <w:szCs w:val="22"/>
              </w:rPr>
              <w:t>Fee Amount</w:t>
            </w:r>
          </w:p>
        </w:tc>
        <w:tc>
          <w:tcPr>
            <w:tcW w:w="2880" w:type="dxa"/>
            <w:vAlign w:val="bottom"/>
          </w:tcPr>
          <w:p w14:paraId="0F9BDBD7" w14:textId="74C2CC8C" w:rsidR="00D51518" w:rsidRPr="00803F3A" w:rsidRDefault="00D51518" w:rsidP="00803F3A">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803F3A">
              <w:rPr>
                <w:color w:val="FFFFFF" w:themeColor="background1"/>
                <w:sz w:val="22"/>
                <w:szCs w:val="22"/>
              </w:rPr>
              <w:t>Percent of Maximum Available Fee</w:t>
            </w:r>
          </w:p>
        </w:tc>
      </w:tr>
      <w:tr w:rsidR="00A0153C" w14:paraId="4F2B6C1C" w14:textId="77777777" w:rsidTr="1A62F9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5A92CCC0" w14:textId="5A8E3C54" w:rsidR="00D51518" w:rsidRDefault="1658AAE7" w:rsidP="00BD5B95">
            <w:pPr>
              <w:pStyle w:val="Default"/>
              <w:rPr>
                <w:color w:val="000000" w:themeColor="text1"/>
                <w:sz w:val="22"/>
                <w:szCs w:val="22"/>
              </w:rPr>
            </w:pPr>
            <w:r w:rsidRPr="1A62F926">
              <w:rPr>
                <w:color w:val="000000" w:themeColor="text1"/>
                <w:sz w:val="22"/>
                <w:szCs w:val="22"/>
              </w:rPr>
              <w:t>Subjective Criteria Fee Earned</w:t>
            </w:r>
          </w:p>
        </w:tc>
        <w:tc>
          <w:tcPr>
            <w:tcW w:w="2070" w:type="dxa"/>
          </w:tcPr>
          <w:p w14:paraId="4CC5CA93" w14:textId="33DADBFB" w:rsidR="00D51518" w:rsidRPr="00803F3A" w:rsidRDefault="1658AAE7" w:rsidP="1A62F926">
            <w:pPr>
              <w:pStyle w:val="Default"/>
              <w:ind w:right="360"/>
              <w:jc w:val="righ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$538,815.36</w:t>
            </w:r>
          </w:p>
        </w:tc>
        <w:tc>
          <w:tcPr>
            <w:tcW w:w="2880" w:type="dxa"/>
          </w:tcPr>
          <w:p w14:paraId="5AF947A9" w14:textId="1BDE0A71" w:rsidR="00D51518" w:rsidRPr="00803F3A" w:rsidRDefault="1658AAE7" w:rsidP="1A62F926">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87%</w:t>
            </w:r>
          </w:p>
        </w:tc>
      </w:tr>
      <w:tr w:rsidR="00D51518" w14:paraId="45362908" w14:textId="77777777" w:rsidTr="1A62F926">
        <w:trPr>
          <w:jc w:val="center"/>
        </w:trPr>
        <w:tc>
          <w:tcPr>
            <w:cnfStyle w:val="001000000000" w:firstRow="0" w:lastRow="0" w:firstColumn="1" w:lastColumn="0" w:oddVBand="0" w:evenVBand="0" w:oddHBand="0" w:evenHBand="0" w:firstRowFirstColumn="0" w:firstRowLastColumn="0" w:lastRowFirstColumn="0" w:lastRowLastColumn="0"/>
            <w:tcW w:w="3505" w:type="dxa"/>
          </w:tcPr>
          <w:p w14:paraId="15AB861B" w14:textId="1D29D778" w:rsidR="00D51518" w:rsidRDefault="1658AAE7" w:rsidP="00BD5B95">
            <w:pPr>
              <w:pStyle w:val="Default"/>
              <w:rPr>
                <w:color w:val="000000" w:themeColor="text1"/>
                <w:sz w:val="22"/>
                <w:szCs w:val="22"/>
              </w:rPr>
            </w:pPr>
            <w:r w:rsidRPr="1A62F926">
              <w:rPr>
                <w:color w:val="000000" w:themeColor="text1"/>
                <w:sz w:val="22"/>
                <w:szCs w:val="22"/>
              </w:rPr>
              <w:t>Objective Criteria Fee Earned</w:t>
            </w:r>
          </w:p>
        </w:tc>
        <w:tc>
          <w:tcPr>
            <w:tcW w:w="2070" w:type="dxa"/>
          </w:tcPr>
          <w:p w14:paraId="704477C6" w14:textId="6863CBEF" w:rsidR="00D51518" w:rsidRDefault="1658AAE7" w:rsidP="00803F3A">
            <w:pPr>
              <w:pStyle w:val="Default"/>
              <w:ind w:right="360"/>
              <w:jc w:val="righ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62F926">
              <w:rPr>
                <w:color w:val="000000" w:themeColor="text1"/>
                <w:sz w:val="22"/>
                <w:szCs w:val="22"/>
              </w:rPr>
              <w:t>$1,280,193</w:t>
            </w:r>
          </w:p>
        </w:tc>
        <w:tc>
          <w:tcPr>
            <w:tcW w:w="2880" w:type="dxa"/>
          </w:tcPr>
          <w:p w14:paraId="0DB3C917" w14:textId="50A528D2" w:rsidR="00D51518" w:rsidRDefault="1658AAE7" w:rsidP="00803F3A">
            <w:pPr>
              <w:pStyle w:val="Defaul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62F926">
              <w:rPr>
                <w:color w:val="000000" w:themeColor="text1"/>
                <w:sz w:val="22"/>
                <w:szCs w:val="22"/>
              </w:rPr>
              <w:t>96%</w:t>
            </w:r>
          </w:p>
        </w:tc>
      </w:tr>
      <w:tr w:rsidR="00A0153C" w14:paraId="587F2F71" w14:textId="77777777" w:rsidTr="1A62F9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9D10227" w14:textId="49D68B5A" w:rsidR="00D51518" w:rsidRDefault="1658AAE7" w:rsidP="00BD5B95">
            <w:pPr>
              <w:pStyle w:val="Default"/>
              <w:rPr>
                <w:color w:val="000000" w:themeColor="text1"/>
                <w:sz w:val="22"/>
                <w:szCs w:val="22"/>
              </w:rPr>
            </w:pPr>
            <w:r w:rsidRPr="1A62F926">
              <w:rPr>
                <w:color w:val="000000" w:themeColor="text1"/>
                <w:sz w:val="22"/>
                <w:szCs w:val="22"/>
              </w:rPr>
              <w:t>Total Fee Earned</w:t>
            </w:r>
          </w:p>
        </w:tc>
        <w:tc>
          <w:tcPr>
            <w:tcW w:w="2070" w:type="dxa"/>
          </w:tcPr>
          <w:p w14:paraId="724C81BC" w14:textId="58A2265A" w:rsidR="00D51518" w:rsidRPr="00803F3A" w:rsidRDefault="1658AAE7" w:rsidP="1A62F926">
            <w:pPr>
              <w:pStyle w:val="Default"/>
              <w:ind w:right="360"/>
              <w:jc w:val="righ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$1,819,008.36</w:t>
            </w:r>
          </w:p>
        </w:tc>
        <w:tc>
          <w:tcPr>
            <w:tcW w:w="2880" w:type="dxa"/>
          </w:tcPr>
          <w:p w14:paraId="7C19F4E4" w14:textId="15AB341D" w:rsidR="00D51518" w:rsidRPr="00803F3A" w:rsidRDefault="1658AAE7" w:rsidP="1A62F926">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93%</w:t>
            </w:r>
          </w:p>
        </w:tc>
      </w:tr>
    </w:tbl>
    <w:p w14:paraId="46674607" w14:textId="77777777" w:rsidR="00BD5B95" w:rsidRPr="00DD178D" w:rsidRDefault="00BD5B95" w:rsidP="00BD5B95">
      <w:pPr>
        <w:pStyle w:val="Default"/>
        <w:rPr>
          <w:color w:val="FF0000"/>
          <w:sz w:val="22"/>
          <w:szCs w:val="22"/>
        </w:rPr>
      </w:pPr>
    </w:p>
    <w:p w14:paraId="55D90031" w14:textId="65312B61" w:rsidR="007614C8" w:rsidRDefault="007614C8" w:rsidP="007614C8">
      <w:pPr>
        <w:pStyle w:val="Default"/>
        <w:jc w:val="center"/>
        <w:rPr>
          <w:b/>
          <w:bCs/>
          <w:color w:val="000000" w:themeColor="text1"/>
          <w:sz w:val="22"/>
          <w:szCs w:val="22"/>
        </w:rPr>
      </w:pPr>
      <w:r w:rsidRPr="1A62F926">
        <w:rPr>
          <w:b/>
          <w:bCs/>
          <w:color w:val="000000" w:themeColor="text1"/>
          <w:sz w:val="22"/>
          <w:szCs w:val="22"/>
        </w:rPr>
        <w:t>Subjective Fee Scorecard</w:t>
      </w:r>
    </w:p>
    <w:tbl>
      <w:tblPr>
        <w:tblStyle w:val="GridTable4-Accent1"/>
        <w:tblW w:w="0" w:type="auto"/>
        <w:jc w:val="center"/>
        <w:tblLook w:val="04A0" w:firstRow="1" w:lastRow="0" w:firstColumn="1" w:lastColumn="0" w:noHBand="0" w:noVBand="1"/>
      </w:tblPr>
      <w:tblGrid>
        <w:gridCol w:w="2965"/>
        <w:gridCol w:w="3240"/>
      </w:tblGrid>
      <w:tr w:rsidR="00A0153C" w14:paraId="3778D7E0" w14:textId="77777777" w:rsidTr="1A62F9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0DE859E0" w14:textId="6C6B5395" w:rsidR="00A0153C" w:rsidRPr="00803F3A" w:rsidRDefault="00A0153C" w:rsidP="007614C8">
            <w:pPr>
              <w:pStyle w:val="Default"/>
              <w:jc w:val="center"/>
              <w:rPr>
                <w:color w:val="FFFFFF" w:themeColor="background1"/>
                <w:sz w:val="22"/>
                <w:szCs w:val="22"/>
              </w:rPr>
            </w:pPr>
            <w:r w:rsidRPr="1A62F926">
              <w:rPr>
                <w:color w:val="FFFFFF" w:themeColor="background1"/>
                <w:sz w:val="22"/>
                <w:szCs w:val="22"/>
              </w:rPr>
              <w:t>Criteria</w:t>
            </w:r>
          </w:p>
        </w:tc>
        <w:tc>
          <w:tcPr>
            <w:tcW w:w="3240" w:type="dxa"/>
          </w:tcPr>
          <w:p w14:paraId="25CCA8EA" w14:textId="333888FC" w:rsidR="00A0153C" w:rsidRPr="00803F3A" w:rsidRDefault="00A0153C" w:rsidP="007614C8">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1A62F926">
              <w:rPr>
                <w:color w:val="FFFFFF" w:themeColor="background1"/>
                <w:sz w:val="22"/>
                <w:szCs w:val="22"/>
              </w:rPr>
              <w:t>Adjective Rating</w:t>
            </w:r>
          </w:p>
        </w:tc>
      </w:tr>
      <w:tr w:rsidR="00A0153C" w14:paraId="1ACDB8D8" w14:textId="77777777" w:rsidTr="1A62F9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31FE6F10" w14:textId="6A10860B"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Quality</w:t>
            </w:r>
          </w:p>
        </w:tc>
        <w:tc>
          <w:tcPr>
            <w:tcW w:w="3240" w:type="dxa"/>
          </w:tcPr>
          <w:p w14:paraId="08F7859E" w14:textId="15B7B8CD" w:rsidR="00A0153C" w:rsidRPr="00803F3A" w:rsidRDefault="00A0153C" w:rsidP="1A62F926">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r w:rsidR="00A0153C" w14:paraId="5D81D7D5" w14:textId="77777777" w:rsidTr="1A62F926">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1390405" w14:textId="470C2CEA"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Schedule</w:t>
            </w:r>
          </w:p>
        </w:tc>
        <w:tc>
          <w:tcPr>
            <w:tcW w:w="3240" w:type="dxa"/>
          </w:tcPr>
          <w:p w14:paraId="635C0D94" w14:textId="3DBA4256" w:rsidR="00A0153C" w:rsidRPr="00803F3A" w:rsidRDefault="00A0153C" w:rsidP="1A62F926">
            <w:pPr>
              <w:pStyle w:val="Defaul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r w:rsidR="00A0153C" w14:paraId="0A59357D" w14:textId="77777777" w:rsidTr="1A62F9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5941E3E3" w14:textId="3A097813"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Cost Control</w:t>
            </w:r>
          </w:p>
        </w:tc>
        <w:tc>
          <w:tcPr>
            <w:tcW w:w="3240" w:type="dxa"/>
          </w:tcPr>
          <w:p w14:paraId="4FD06FAE" w14:textId="0D8C4CD4" w:rsidR="00A0153C" w:rsidRPr="00803F3A" w:rsidRDefault="13B0AE64" w:rsidP="1A62F926">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r w:rsidR="00A0153C" w14:paraId="59A47743" w14:textId="77777777" w:rsidTr="1A62F926">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1B65B6A2" w14:textId="6A04DD83"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Management</w:t>
            </w:r>
          </w:p>
        </w:tc>
        <w:tc>
          <w:tcPr>
            <w:tcW w:w="3240" w:type="dxa"/>
          </w:tcPr>
          <w:p w14:paraId="281C1D80" w14:textId="53BB6ACF" w:rsidR="00A0153C" w:rsidRPr="00803F3A" w:rsidRDefault="00A0153C" w:rsidP="1A62F926">
            <w:pPr>
              <w:pStyle w:val="Defaul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r w:rsidR="00A0153C" w14:paraId="0AE803BD" w14:textId="77777777" w:rsidTr="1A62F9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15803549" w14:textId="46F9C957"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Regulatory Compliance</w:t>
            </w:r>
          </w:p>
        </w:tc>
        <w:tc>
          <w:tcPr>
            <w:tcW w:w="3240" w:type="dxa"/>
          </w:tcPr>
          <w:p w14:paraId="7288F33B" w14:textId="3ABDBFE9" w:rsidR="00A0153C" w:rsidRPr="00803F3A" w:rsidRDefault="00A0153C" w:rsidP="1A62F926">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r w:rsidR="00A0153C" w14:paraId="28F9B3FF" w14:textId="77777777" w:rsidTr="1A62F926">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1E43352" w14:textId="55E71F5D" w:rsidR="00A0153C" w:rsidRPr="00A0153C" w:rsidRDefault="00A0153C" w:rsidP="00803F3A">
            <w:pPr>
              <w:pStyle w:val="Default"/>
              <w:rPr>
                <w:b w:val="0"/>
                <w:bCs w:val="0"/>
                <w:color w:val="000000" w:themeColor="text1"/>
                <w:sz w:val="22"/>
                <w:szCs w:val="22"/>
              </w:rPr>
            </w:pPr>
            <w:r w:rsidRPr="1A62F926">
              <w:rPr>
                <w:b w:val="0"/>
                <w:bCs w:val="0"/>
                <w:color w:val="000000" w:themeColor="text1"/>
                <w:sz w:val="22"/>
                <w:szCs w:val="22"/>
              </w:rPr>
              <w:t>Health and Safety</w:t>
            </w:r>
          </w:p>
        </w:tc>
        <w:tc>
          <w:tcPr>
            <w:tcW w:w="3240" w:type="dxa"/>
          </w:tcPr>
          <w:p w14:paraId="2A91731C" w14:textId="66163BDD" w:rsidR="00A0153C" w:rsidRPr="00803F3A" w:rsidRDefault="00A0153C" w:rsidP="1A62F926">
            <w:pPr>
              <w:pStyle w:val="Defaul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62F926">
              <w:rPr>
                <w:color w:val="000000" w:themeColor="text1"/>
                <w:sz w:val="22"/>
                <w:szCs w:val="22"/>
              </w:rPr>
              <w:t>Very Good</w:t>
            </w:r>
          </w:p>
        </w:tc>
      </w:tr>
    </w:tbl>
    <w:p w14:paraId="3C69A7D7" w14:textId="77777777" w:rsidR="00BD5B95" w:rsidRPr="00DD178D" w:rsidRDefault="00BD5B95" w:rsidP="00BD5B95">
      <w:pPr>
        <w:pStyle w:val="Default"/>
        <w:rPr>
          <w:color w:val="FF0000"/>
          <w:sz w:val="22"/>
          <w:szCs w:val="22"/>
        </w:rPr>
      </w:pPr>
    </w:p>
    <w:p w14:paraId="3C58B6F3" w14:textId="755EBB71" w:rsidR="00BD5B95" w:rsidRPr="00B96067" w:rsidRDefault="00BD34F6" w:rsidP="00BD5B95">
      <w:pPr>
        <w:pStyle w:val="Default"/>
        <w:rPr>
          <w:b/>
          <w:bCs/>
          <w:color w:val="000000" w:themeColor="text1"/>
          <w:sz w:val="22"/>
          <w:szCs w:val="22"/>
        </w:rPr>
      </w:pPr>
      <w:r>
        <w:rPr>
          <w:b/>
          <w:bCs/>
          <w:color w:val="000000" w:themeColor="text1"/>
          <w:sz w:val="22"/>
          <w:szCs w:val="22"/>
        </w:rPr>
        <w:t>Significant Accomplish</w:t>
      </w:r>
      <w:r w:rsidR="00BD5B95" w:rsidRPr="00B96067">
        <w:rPr>
          <w:b/>
          <w:bCs/>
          <w:color w:val="000000" w:themeColor="text1"/>
          <w:sz w:val="22"/>
          <w:szCs w:val="22"/>
        </w:rPr>
        <w:t xml:space="preserve">ments: </w:t>
      </w:r>
    </w:p>
    <w:p w14:paraId="326F6BEF" w14:textId="77777777" w:rsidR="00BD5B95" w:rsidRPr="00DD178D" w:rsidRDefault="00BD5B95" w:rsidP="00BD5B95">
      <w:pPr>
        <w:pStyle w:val="Default"/>
        <w:rPr>
          <w:b/>
          <w:bCs/>
          <w:color w:val="FF0000"/>
          <w:sz w:val="22"/>
          <w:szCs w:val="22"/>
        </w:rPr>
      </w:pPr>
    </w:p>
    <w:p w14:paraId="23C6CC6F" w14:textId="16784C26" w:rsidR="005818BE" w:rsidRDefault="007F5D1C" w:rsidP="00B96067">
      <w:pPr>
        <w:pStyle w:val="Default"/>
        <w:rPr>
          <w:bCs/>
          <w:sz w:val="22"/>
        </w:rPr>
      </w:pPr>
      <w:r w:rsidRPr="00611D3B">
        <w:rPr>
          <w:bCs/>
          <w:color w:val="000000" w:themeColor="text1"/>
          <w:sz w:val="22"/>
        </w:rPr>
        <w:t xml:space="preserve">Navarro provided </w:t>
      </w:r>
      <w:r w:rsidR="00611D3B">
        <w:rPr>
          <w:bCs/>
          <w:color w:val="000000" w:themeColor="text1"/>
          <w:sz w:val="22"/>
        </w:rPr>
        <w:t>outstanding</w:t>
      </w:r>
      <w:r w:rsidRPr="00611D3B">
        <w:rPr>
          <w:bCs/>
          <w:color w:val="000000" w:themeColor="text1"/>
          <w:sz w:val="22"/>
        </w:rPr>
        <w:t xml:space="preserve"> Radioactive Wase Acceptance Program</w:t>
      </w:r>
      <w:r w:rsidR="005818BE" w:rsidRPr="00611D3B">
        <w:rPr>
          <w:bCs/>
          <w:color w:val="000000" w:themeColor="text1"/>
          <w:sz w:val="22"/>
        </w:rPr>
        <w:t xml:space="preserve"> (RWAP)</w:t>
      </w:r>
      <w:r w:rsidRPr="00611D3B">
        <w:rPr>
          <w:bCs/>
          <w:color w:val="000000" w:themeColor="text1"/>
          <w:sz w:val="22"/>
        </w:rPr>
        <w:t xml:space="preserve"> support including fulfilling Settlement Agreement commitments</w:t>
      </w:r>
      <w:r w:rsidR="005818BE" w:rsidRPr="00611D3B">
        <w:rPr>
          <w:bCs/>
          <w:color w:val="000000" w:themeColor="text1"/>
          <w:sz w:val="22"/>
        </w:rPr>
        <w:t xml:space="preserve"> such as </w:t>
      </w:r>
      <w:bookmarkStart w:id="0" w:name="_Hlk149744562"/>
      <w:r w:rsidR="005818BE" w:rsidRPr="00611D3B">
        <w:rPr>
          <w:bCs/>
          <w:sz w:val="22"/>
        </w:rPr>
        <w:t>effectively managing the RWAP schedule to exceed the number of facility evaluations by ten percent over the fiscal year 2019 baseline</w:t>
      </w:r>
      <w:bookmarkEnd w:id="0"/>
      <w:r w:rsidR="005818BE" w:rsidRPr="00611D3B">
        <w:rPr>
          <w:bCs/>
          <w:sz w:val="22"/>
        </w:rPr>
        <w:t>.</w:t>
      </w:r>
    </w:p>
    <w:p w14:paraId="3822630B" w14:textId="77777777" w:rsidR="001F47FA" w:rsidRDefault="001F47FA" w:rsidP="00B96067">
      <w:pPr>
        <w:pStyle w:val="Default"/>
        <w:rPr>
          <w:bCs/>
          <w:sz w:val="22"/>
        </w:rPr>
      </w:pPr>
    </w:p>
    <w:p w14:paraId="68DD875C" w14:textId="4B7A3471" w:rsidR="001F47FA" w:rsidRPr="00611D3B" w:rsidRDefault="001F47FA" w:rsidP="00B96067">
      <w:pPr>
        <w:pStyle w:val="Default"/>
        <w:rPr>
          <w:bCs/>
          <w:color w:val="000000" w:themeColor="text1"/>
          <w:sz w:val="22"/>
        </w:rPr>
      </w:pPr>
      <w:r w:rsidRPr="001F47FA">
        <w:rPr>
          <w:bCs/>
          <w:color w:val="000000" w:themeColor="text1"/>
          <w:sz w:val="22"/>
        </w:rPr>
        <w:t>The</w:t>
      </w:r>
      <w:r>
        <w:rPr>
          <w:bCs/>
          <w:color w:val="000000" w:themeColor="text1"/>
          <w:sz w:val="22"/>
        </w:rPr>
        <w:t xml:space="preserve"> Navarro</w:t>
      </w:r>
      <w:r w:rsidRPr="001F47FA">
        <w:rPr>
          <w:bCs/>
          <w:color w:val="000000" w:themeColor="text1"/>
          <w:sz w:val="22"/>
        </w:rPr>
        <w:t xml:space="preserve"> RWAP team has delivered with the highest levels of quality, professionalism, and flexibility, providing excellent support related to assisting new generators and auditing waste profiles; and incorporating lessons learned from profile reviews to clarify language and improve information delivery. RWAP provided outstanding support in the review, approval, and subsequent management of waste profile information.</w:t>
      </w:r>
    </w:p>
    <w:p w14:paraId="6128FFDD" w14:textId="77777777" w:rsidR="005818BE" w:rsidRPr="00611D3B" w:rsidRDefault="005818BE" w:rsidP="00B96067">
      <w:pPr>
        <w:pStyle w:val="Default"/>
        <w:rPr>
          <w:bCs/>
          <w:color w:val="000000" w:themeColor="text1"/>
          <w:sz w:val="22"/>
        </w:rPr>
      </w:pPr>
    </w:p>
    <w:p w14:paraId="1CCB6B3E" w14:textId="74306FE7" w:rsidR="00B46412" w:rsidRPr="00611D3B" w:rsidRDefault="00B46412" w:rsidP="00B46412">
      <w:pPr>
        <w:pStyle w:val="Default"/>
        <w:rPr>
          <w:bCs/>
          <w:sz w:val="22"/>
        </w:rPr>
      </w:pPr>
      <w:r w:rsidRPr="00611D3B">
        <w:rPr>
          <w:bCs/>
          <w:sz w:val="22"/>
        </w:rPr>
        <w:t>Navarro continued to reduce travel costs while meeting RWAP facility evaluation requirements. Navarro used remotely stationed resources to conduct support audits and verifications at waste generator sites and maintained use of hybrid facility evaluations.</w:t>
      </w:r>
    </w:p>
    <w:p w14:paraId="5BD51193" w14:textId="181016ED" w:rsidR="0018173A" w:rsidRPr="00611D3B" w:rsidRDefault="0018173A" w:rsidP="00B96067">
      <w:pPr>
        <w:pStyle w:val="Default"/>
        <w:rPr>
          <w:bCs/>
          <w:sz w:val="22"/>
        </w:rPr>
      </w:pPr>
    </w:p>
    <w:p w14:paraId="3C4C472F" w14:textId="443A5CE5" w:rsidR="0018173A" w:rsidRPr="00611D3B" w:rsidRDefault="0018173A" w:rsidP="00B96067">
      <w:pPr>
        <w:pStyle w:val="Default"/>
        <w:rPr>
          <w:bCs/>
          <w:sz w:val="22"/>
        </w:rPr>
      </w:pPr>
      <w:r w:rsidRPr="00611D3B">
        <w:rPr>
          <w:bCs/>
          <w:sz w:val="22"/>
        </w:rPr>
        <w:t xml:space="preserve">Navarro </w:t>
      </w:r>
      <w:r w:rsidR="001F47FA">
        <w:rPr>
          <w:bCs/>
          <w:sz w:val="22"/>
        </w:rPr>
        <w:t>obtain</w:t>
      </w:r>
      <w:r w:rsidRPr="00611D3B">
        <w:rPr>
          <w:bCs/>
          <w:sz w:val="22"/>
        </w:rPr>
        <w:t xml:space="preserve">ed regulatory approval </w:t>
      </w:r>
      <w:r w:rsidR="00165D8B">
        <w:rPr>
          <w:bCs/>
          <w:sz w:val="22"/>
        </w:rPr>
        <w:t xml:space="preserve">to proceed to the corrective action decision phase for </w:t>
      </w:r>
      <w:proofErr w:type="spellStart"/>
      <w:r w:rsidRPr="00611D3B">
        <w:rPr>
          <w:bCs/>
          <w:sz w:val="22"/>
        </w:rPr>
        <w:t>Pahute</w:t>
      </w:r>
      <w:proofErr w:type="spellEnd"/>
      <w:r w:rsidRPr="00611D3B">
        <w:rPr>
          <w:bCs/>
          <w:sz w:val="22"/>
        </w:rPr>
        <w:t xml:space="preserve"> Mesa.</w:t>
      </w:r>
      <w:r w:rsidR="00165D8B">
        <w:rPr>
          <w:bCs/>
          <w:sz w:val="22"/>
        </w:rPr>
        <w:t xml:space="preserve"> </w:t>
      </w:r>
      <w:r w:rsidR="00165D8B" w:rsidRPr="00165D8B">
        <w:rPr>
          <w:bCs/>
          <w:sz w:val="22"/>
        </w:rPr>
        <w:t xml:space="preserve">This </w:t>
      </w:r>
      <w:r w:rsidR="00165D8B">
        <w:rPr>
          <w:bCs/>
          <w:sz w:val="22"/>
        </w:rPr>
        <w:t xml:space="preserve">is a significant achievement that </w:t>
      </w:r>
      <w:r w:rsidR="00165D8B" w:rsidRPr="00165D8B">
        <w:rPr>
          <w:bCs/>
          <w:sz w:val="22"/>
        </w:rPr>
        <w:t>allowed the project to move forward on the final groundwater region in the E</w:t>
      </w:r>
      <w:r w:rsidR="00165D8B">
        <w:rPr>
          <w:bCs/>
          <w:sz w:val="22"/>
        </w:rPr>
        <w:t xml:space="preserve">nvironmental </w:t>
      </w:r>
      <w:r w:rsidR="00165D8B" w:rsidRPr="00165D8B">
        <w:rPr>
          <w:bCs/>
          <w:sz w:val="22"/>
        </w:rPr>
        <w:t>M</w:t>
      </w:r>
      <w:r w:rsidR="00165D8B">
        <w:rPr>
          <w:bCs/>
          <w:sz w:val="22"/>
        </w:rPr>
        <w:t>anagement</w:t>
      </w:r>
      <w:r w:rsidR="00165D8B" w:rsidRPr="00165D8B">
        <w:rPr>
          <w:bCs/>
          <w:sz w:val="22"/>
        </w:rPr>
        <w:t xml:space="preserve"> Nevada Program mission.</w:t>
      </w:r>
    </w:p>
    <w:p w14:paraId="68C1E948" w14:textId="721F597A" w:rsidR="0018173A" w:rsidRPr="00611D3B" w:rsidRDefault="0018173A" w:rsidP="00B96067">
      <w:pPr>
        <w:pStyle w:val="Default"/>
        <w:rPr>
          <w:bCs/>
          <w:sz w:val="22"/>
        </w:rPr>
      </w:pPr>
    </w:p>
    <w:p w14:paraId="23A9A878" w14:textId="7BF18A8D" w:rsidR="00B72A51" w:rsidRDefault="00604DB3" w:rsidP="00B96067">
      <w:pPr>
        <w:pStyle w:val="Default"/>
        <w:rPr>
          <w:bCs/>
          <w:color w:val="000000" w:themeColor="text1"/>
          <w:sz w:val="22"/>
        </w:rPr>
      </w:pPr>
      <w:r>
        <w:rPr>
          <w:bCs/>
          <w:color w:val="000000" w:themeColor="text1"/>
          <w:sz w:val="22"/>
        </w:rPr>
        <w:t>Navarro completed removal and disposal of perlite from the interstitial space of four large, spherical, double-walled containers at Test Cell C.</w:t>
      </w:r>
    </w:p>
    <w:p w14:paraId="750143DB" w14:textId="77777777" w:rsidR="00604DB3" w:rsidRDefault="00604DB3" w:rsidP="00B96067">
      <w:pPr>
        <w:pStyle w:val="Default"/>
        <w:rPr>
          <w:bCs/>
          <w:color w:val="000000" w:themeColor="text1"/>
          <w:sz w:val="22"/>
        </w:rPr>
      </w:pPr>
    </w:p>
    <w:p w14:paraId="100A80DF" w14:textId="488F9606" w:rsidR="00604DB3" w:rsidRPr="00611D3B" w:rsidRDefault="00604DB3" w:rsidP="00B96067">
      <w:pPr>
        <w:pStyle w:val="Default"/>
        <w:rPr>
          <w:bCs/>
          <w:color w:val="000000" w:themeColor="text1"/>
          <w:sz w:val="22"/>
        </w:rPr>
      </w:pPr>
      <w:r>
        <w:rPr>
          <w:bCs/>
          <w:color w:val="000000" w:themeColor="text1"/>
          <w:sz w:val="22"/>
        </w:rPr>
        <w:t>Navarro c</w:t>
      </w:r>
      <w:r w:rsidRPr="00604DB3">
        <w:rPr>
          <w:bCs/>
          <w:color w:val="000000" w:themeColor="text1"/>
          <w:sz w:val="22"/>
        </w:rPr>
        <w:t xml:space="preserve">ompleted removal and disposal of asbestos-containing insulation from structures at Test Cell C, Building 3901, and the </w:t>
      </w:r>
      <w:proofErr w:type="gramStart"/>
      <w:r w:rsidRPr="00604DB3">
        <w:rPr>
          <w:bCs/>
          <w:color w:val="000000" w:themeColor="text1"/>
          <w:sz w:val="22"/>
        </w:rPr>
        <w:t>Building</w:t>
      </w:r>
      <w:proofErr w:type="gramEnd"/>
      <w:r w:rsidRPr="00604DB3">
        <w:rPr>
          <w:bCs/>
          <w:color w:val="000000" w:themeColor="text1"/>
          <w:sz w:val="22"/>
        </w:rPr>
        <w:t xml:space="preserve"> 3900 cold bay, high bay, operating galleries, and basement.</w:t>
      </w:r>
    </w:p>
    <w:p w14:paraId="7642DD53" w14:textId="77777777" w:rsidR="00BD5B95" w:rsidRPr="00611D3B" w:rsidRDefault="00BD5B95" w:rsidP="00BD5B95">
      <w:pPr>
        <w:pStyle w:val="Default"/>
        <w:rPr>
          <w:color w:val="000000" w:themeColor="text1"/>
          <w:sz w:val="22"/>
          <w:szCs w:val="22"/>
        </w:rPr>
      </w:pPr>
    </w:p>
    <w:p w14:paraId="530E3BE9" w14:textId="4E49D782" w:rsidR="001C579C" w:rsidRPr="00611D3B" w:rsidRDefault="00023357" w:rsidP="00BD5B95">
      <w:pPr>
        <w:pStyle w:val="Default"/>
        <w:rPr>
          <w:b/>
          <w:bCs/>
          <w:color w:val="000000" w:themeColor="text1"/>
          <w:sz w:val="22"/>
          <w:szCs w:val="22"/>
        </w:rPr>
      </w:pPr>
      <w:r w:rsidRPr="00611D3B">
        <w:rPr>
          <w:b/>
          <w:bCs/>
          <w:color w:val="000000" w:themeColor="text1"/>
          <w:sz w:val="22"/>
          <w:szCs w:val="22"/>
        </w:rPr>
        <w:t xml:space="preserve">Opportunities </w:t>
      </w:r>
      <w:r w:rsidR="001C579C" w:rsidRPr="00611D3B">
        <w:rPr>
          <w:b/>
          <w:bCs/>
          <w:color w:val="000000" w:themeColor="text1"/>
          <w:sz w:val="22"/>
          <w:szCs w:val="22"/>
        </w:rPr>
        <w:t>for Improvement:</w:t>
      </w:r>
    </w:p>
    <w:p w14:paraId="641D3B93" w14:textId="77777777" w:rsidR="001C579C" w:rsidRPr="00611D3B" w:rsidRDefault="001C579C" w:rsidP="00BD5B95">
      <w:pPr>
        <w:pStyle w:val="Default"/>
        <w:rPr>
          <w:color w:val="000000" w:themeColor="text1"/>
          <w:sz w:val="22"/>
          <w:szCs w:val="22"/>
        </w:rPr>
      </w:pPr>
    </w:p>
    <w:p w14:paraId="59D9E95E" w14:textId="0EB92629" w:rsidR="00184955" w:rsidRDefault="00E74F30" w:rsidP="00E47F53">
      <w:pPr>
        <w:pStyle w:val="Default"/>
        <w:rPr>
          <w:sz w:val="22"/>
          <w:szCs w:val="22"/>
        </w:rPr>
      </w:pPr>
      <w:r w:rsidRPr="00611D3B">
        <w:rPr>
          <w:sz w:val="22"/>
          <w:szCs w:val="22"/>
        </w:rPr>
        <w:t xml:space="preserve">Opportunities for improvement </w:t>
      </w:r>
      <w:r w:rsidR="00184955">
        <w:rPr>
          <w:sz w:val="22"/>
          <w:szCs w:val="22"/>
        </w:rPr>
        <w:t xml:space="preserve">were </w:t>
      </w:r>
      <w:r w:rsidRPr="00611D3B">
        <w:rPr>
          <w:sz w:val="22"/>
          <w:szCs w:val="22"/>
        </w:rPr>
        <w:t xml:space="preserve">identified during the period </w:t>
      </w:r>
      <w:r w:rsidR="00184955">
        <w:rPr>
          <w:sz w:val="22"/>
          <w:szCs w:val="22"/>
        </w:rPr>
        <w:t xml:space="preserve">in areas such as work control, timely resolution of important corrective actions for issues, timely completion of non-incentivized products, </w:t>
      </w:r>
      <w:r w:rsidR="00C349AB">
        <w:rPr>
          <w:sz w:val="22"/>
          <w:szCs w:val="22"/>
        </w:rPr>
        <w:t xml:space="preserve">and improved </w:t>
      </w:r>
      <w:r w:rsidR="00184955">
        <w:rPr>
          <w:sz w:val="22"/>
          <w:szCs w:val="22"/>
        </w:rPr>
        <w:t>integration of resources across the organization</w:t>
      </w:r>
      <w:r w:rsidR="00C349AB">
        <w:rPr>
          <w:sz w:val="22"/>
          <w:szCs w:val="22"/>
        </w:rPr>
        <w:t>.</w:t>
      </w:r>
    </w:p>
    <w:p w14:paraId="2352DA6C" w14:textId="77777777" w:rsidR="006D6A15" w:rsidRDefault="006D6A15" w:rsidP="00E47F53">
      <w:pPr>
        <w:pStyle w:val="Default"/>
        <w:rPr>
          <w:sz w:val="22"/>
          <w:szCs w:val="22"/>
        </w:rPr>
      </w:pPr>
    </w:p>
    <w:p w14:paraId="66210FDD" w14:textId="64C48CF7" w:rsidR="006D6A15" w:rsidRPr="00EC0EE9" w:rsidRDefault="006D6A15" w:rsidP="00EC0EE9">
      <w:pPr>
        <w:pStyle w:val="Default"/>
        <w:jc w:val="center"/>
        <w:rPr>
          <w:b/>
          <w:bCs/>
          <w:sz w:val="22"/>
          <w:szCs w:val="22"/>
        </w:rPr>
      </w:pPr>
      <w:r w:rsidRPr="00EC0EE9">
        <w:rPr>
          <w:b/>
          <w:bCs/>
          <w:sz w:val="22"/>
          <w:szCs w:val="22"/>
        </w:rPr>
        <w:t>Objective Fee Criteria Summary Table</w:t>
      </w:r>
    </w:p>
    <w:tbl>
      <w:tblPr>
        <w:tblW w:w="10800" w:type="dxa"/>
        <w:tblCellMar>
          <w:left w:w="0" w:type="dxa"/>
          <w:right w:w="0" w:type="dxa"/>
        </w:tblCellMar>
        <w:tblLook w:val="04A0" w:firstRow="1" w:lastRow="0" w:firstColumn="1" w:lastColumn="0" w:noHBand="0" w:noVBand="1"/>
      </w:tblPr>
      <w:tblGrid>
        <w:gridCol w:w="1472"/>
        <w:gridCol w:w="5898"/>
        <w:gridCol w:w="1775"/>
        <w:gridCol w:w="1655"/>
      </w:tblGrid>
      <w:tr w:rsidR="006D6A15" w:rsidRPr="006D6A15" w14:paraId="4D0AA932" w14:textId="77777777" w:rsidTr="00EC0EE9">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0E3AA" w14:textId="77777777" w:rsidR="006D6A15" w:rsidRPr="006D6A15" w:rsidRDefault="006D6A15" w:rsidP="006D6A15">
            <w:pPr>
              <w:pStyle w:val="Default"/>
            </w:pPr>
            <w:r w:rsidRPr="006D6A15">
              <w:rPr>
                <w:b/>
                <w:bCs/>
              </w:rPr>
              <w:t>PBI</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EACAD3" w14:textId="77777777" w:rsidR="006D6A15" w:rsidRPr="006D6A15" w:rsidRDefault="006D6A15" w:rsidP="006D6A15">
            <w:pPr>
              <w:pStyle w:val="Default"/>
            </w:pPr>
            <w:r w:rsidRPr="006D6A15">
              <w:rPr>
                <w:b/>
                <w:bCs/>
              </w:rPr>
              <w:t>Milestone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73C0DF" w14:textId="77777777" w:rsidR="006D6A15" w:rsidRPr="006D6A15" w:rsidRDefault="006D6A15" w:rsidP="006D6A15">
            <w:pPr>
              <w:pStyle w:val="Default"/>
            </w:pPr>
            <w:r w:rsidRPr="006D6A15">
              <w:rPr>
                <w:b/>
                <w:bCs/>
              </w:rPr>
              <w:t>Available Fee</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AD1AD" w14:textId="77777777" w:rsidR="006D6A15" w:rsidRPr="006D6A15" w:rsidRDefault="006D6A15" w:rsidP="006D6A15">
            <w:pPr>
              <w:pStyle w:val="Default"/>
            </w:pPr>
            <w:r w:rsidRPr="006D6A15">
              <w:rPr>
                <w:b/>
                <w:bCs/>
              </w:rPr>
              <w:t>Fee Earned</w:t>
            </w:r>
          </w:p>
        </w:tc>
      </w:tr>
      <w:tr w:rsidR="006D6A15" w:rsidRPr="006D6A15" w14:paraId="45ECF80A" w14:textId="77777777" w:rsidTr="00EC0EE9">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9CAB7" w14:textId="77777777" w:rsidR="006D6A15" w:rsidRPr="006D6A15" w:rsidRDefault="006D6A15" w:rsidP="006D6A15">
            <w:pPr>
              <w:pStyle w:val="Default"/>
            </w:pPr>
            <w:r w:rsidRPr="006D6A15">
              <w:rPr>
                <w:b/>
                <w:bCs/>
              </w:rPr>
              <w:t>1 – UGTA</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2A95E" w14:textId="77777777" w:rsidR="006D6A15" w:rsidRPr="006D6A15" w:rsidRDefault="006D6A15" w:rsidP="006D6A15">
            <w:pPr>
              <w:pStyle w:val="Default"/>
            </w:pPr>
            <w:r w:rsidRPr="006D6A15">
              <w:t xml:space="preserve">1. </w:t>
            </w:r>
            <w:proofErr w:type="spellStart"/>
            <w:r w:rsidRPr="006D6A15">
              <w:t>Pahute</w:t>
            </w:r>
            <w:proofErr w:type="spellEnd"/>
            <w:r w:rsidRPr="006D6A15">
              <w:t xml:space="preserve"> Mesa Data Acquisition Phase II</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1861A7" w14:textId="77777777" w:rsidR="006D6A15" w:rsidRPr="006D6A15" w:rsidRDefault="006D6A15" w:rsidP="006D6A15">
            <w:pPr>
              <w:pStyle w:val="Default"/>
            </w:pPr>
            <w:r w:rsidRPr="006D6A15">
              <w:t>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709BB" w14:textId="77777777" w:rsidR="006D6A15" w:rsidRPr="006D6A15" w:rsidRDefault="006D6A15" w:rsidP="006D6A15">
            <w:pPr>
              <w:pStyle w:val="Default"/>
            </w:pPr>
            <w:r w:rsidRPr="006D6A15">
              <w:t>5,000</w:t>
            </w:r>
          </w:p>
        </w:tc>
      </w:tr>
      <w:tr w:rsidR="006D6A15" w:rsidRPr="006D6A15" w14:paraId="238C4F28"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F47ED0"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1C09C" w14:textId="77777777" w:rsidR="006D6A15" w:rsidRPr="006D6A15" w:rsidRDefault="006D6A15" w:rsidP="006D6A15">
            <w:pPr>
              <w:pStyle w:val="Default"/>
            </w:pPr>
            <w:r w:rsidRPr="006D6A15">
              <w:t xml:space="preserve">2. </w:t>
            </w:r>
            <w:proofErr w:type="spellStart"/>
            <w:r w:rsidRPr="006D6A15">
              <w:t>Pahute</w:t>
            </w:r>
            <w:proofErr w:type="spellEnd"/>
            <w:r w:rsidRPr="006D6A15">
              <w:t xml:space="preserve"> Mesa Contaminant Boundary Phase II</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3712B6" w14:textId="77777777" w:rsidR="006D6A15" w:rsidRPr="006D6A15" w:rsidRDefault="006D6A15" w:rsidP="006D6A15">
            <w:pPr>
              <w:pStyle w:val="Default"/>
            </w:pPr>
            <w:r w:rsidRPr="006D6A15">
              <w:t>50,000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D5BBA3" w14:textId="77777777" w:rsidR="006D6A15" w:rsidRPr="006D6A15" w:rsidRDefault="006D6A15" w:rsidP="006D6A15">
            <w:pPr>
              <w:pStyle w:val="Default"/>
            </w:pPr>
            <w:r w:rsidRPr="006D6A15">
              <w:t>50,000</w:t>
            </w:r>
          </w:p>
        </w:tc>
      </w:tr>
      <w:tr w:rsidR="006D6A15" w:rsidRPr="006D6A15" w14:paraId="5473845C"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C57D95"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6FA4FB" w14:textId="77777777" w:rsidR="006D6A15" w:rsidRPr="006D6A15" w:rsidRDefault="006D6A15" w:rsidP="006D6A15">
            <w:pPr>
              <w:pStyle w:val="Default"/>
            </w:pPr>
            <w:r w:rsidRPr="006D6A15">
              <w:t xml:space="preserve">3. </w:t>
            </w:r>
            <w:proofErr w:type="spellStart"/>
            <w:r w:rsidRPr="006D6A15">
              <w:t>Pahute</w:t>
            </w:r>
            <w:proofErr w:type="spellEnd"/>
            <w:r w:rsidRPr="006D6A15">
              <w:t xml:space="preserve"> Mesa Model Evaluation Data Acquisition</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90194" w14:textId="77777777" w:rsidR="006D6A15" w:rsidRPr="006D6A15" w:rsidRDefault="006D6A15" w:rsidP="006D6A15">
            <w:pPr>
              <w:pStyle w:val="Default"/>
            </w:pPr>
            <w:r w:rsidRPr="006D6A15">
              <w:t>25,000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5E8725" w14:textId="77777777" w:rsidR="006D6A15" w:rsidRPr="006D6A15" w:rsidRDefault="006D6A15" w:rsidP="006D6A15">
            <w:pPr>
              <w:pStyle w:val="Default"/>
            </w:pPr>
            <w:r w:rsidRPr="006D6A15">
              <w:t>25,000</w:t>
            </w:r>
          </w:p>
        </w:tc>
      </w:tr>
      <w:tr w:rsidR="006D6A15" w:rsidRPr="006D6A15" w14:paraId="24F71C5A"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A9A92B"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CBB819" w14:textId="77777777" w:rsidR="006D6A15" w:rsidRPr="006D6A15" w:rsidRDefault="006D6A15" w:rsidP="006D6A15">
            <w:pPr>
              <w:pStyle w:val="Default"/>
            </w:pPr>
            <w:r w:rsidRPr="006D6A15">
              <w:t xml:space="preserve">4. </w:t>
            </w:r>
            <w:proofErr w:type="spellStart"/>
            <w:r w:rsidRPr="006D6A15">
              <w:t>Pahute</w:t>
            </w:r>
            <w:proofErr w:type="spellEnd"/>
            <w:r w:rsidRPr="006D6A15">
              <w:t xml:space="preserve"> Mesa CADD/CAP</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62A36D" w14:textId="77777777" w:rsidR="006D6A15" w:rsidRPr="006D6A15" w:rsidRDefault="006D6A15" w:rsidP="006D6A15">
            <w:pPr>
              <w:pStyle w:val="Default"/>
            </w:pPr>
            <w:r w:rsidRPr="006D6A15">
              <w:t>75,000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244850" w14:textId="77777777" w:rsidR="006D6A15" w:rsidRPr="006D6A15" w:rsidRDefault="006D6A15" w:rsidP="006D6A15">
            <w:pPr>
              <w:pStyle w:val="Default"/>
            </w:pPr>
            <w:r w:rsidRPr="006D6A15">
              <w:t>75,000</w:t>
            </w:r>
          </w:p>
        </w:tc>
      </w:tr>
      <w:tr w:rsidR="006D6A15" w:rsidRPr="006D6A15" w14:paraId="06364B19"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0762C4"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4CA47" w14:textId="77777777" w:rsidR="006D6A15" w:rsidRPr="006D6A15" w:rsidRDefault="006D6A15" w:rsidP="006D6A15">
            <w:pPr>
              <w:pStyle w:val="Default"/>
            </w:pPr>
            <w:r w:rsidRPr="006D6A15">
              <w:t>5. UGTA Group Modification Scope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0CDCE" w14:textId="77777777" w:rsidR="006D6A15" w:rsidRPr="006D6A15" w:rsidRDefault="006D6A15" w:rsidP="006D6A15">
            <w:pPr>
              <w:pStyle w:val="Default"/>
            </w:pPr>
            <w:r w:rsidRPr="006D6A15">
              <w:t>120,000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D3FA4D" w14:textId="77777777" w:rsidR="006D6A15" w:rsidRPr="006D6A15" w:rsidRDefault="006D6A15" w:rsidP="006D6A15">
            <w:pPr>
              <w:pStyle w:val="Default"/>
            </w:pPr>
            <w:r w:rsidRPr="006D6A15">
              <w:t>100,000</w:t>
            </w:r>
          </w:p>
        </w:tc>
      </w:tr>
      <w:tr w:rsidR="006D6A15" w:rsidRPr="006D6A15" w14:paraId="14C50648" w14:textId="77777777" w:rsidTr="00EC0EE9">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EBB082" w14:textId="77777777" w:rsidR="006D6A15" w:rsidRPr="006D6A15" w:rsidRDefault="006D6A15" w:rsidP="006D6A15">
            <w:pPr>
              <w:pStyle w:val="Default"/>
            </w:pPr>
            <w:r w:rsidRPr="006D6A15">
              <w:rPr>
                <w:b/>
                <w:bCs/>
              </w:rPr>
              <w:t>2 – Industrial Sites</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F4E6E" w14:textId="77777777" w:rsidR="006D6A15" w:rsidRPr="006D6A15" w:rsidRDefault="006D6A15" w:rsidP="006D6A15">
            <w:pPr>
              <w:pStyle w:val="Default"/>
            </w:pPr>
            <w:r w:rsidRPr="006D6A15">
              <w:t>1. CAU 572, TCC Ancillary Buildings and Structures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D0BEAE" w14:textId="77777777" w:rsidR="006D6A15" w:rsidRPr="006D6A15" w:rsidRDefault="006D6A15" w:rsidP="006D6A15">
            <w:pPr>
              <w:pStyle w:val="Default"/>
            </w:pPr>
            <w:r w:rsidRPr="006D6A15">
              <w:t>272,137</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0088D" w14:textId="77777777" w:rsidR="006D6A15" w:rsidRPr="006D6A15" w:rsidRDefault="006D6A15" w:rsidP="006D6A15">
            <w:pPr>
              <w:pStyle w:val="Default"/>
            </w:pPr>
            <w:r w:rsidRPr="006D6A15">
              <w:t>272,137</w:t>
            </w:r>
          </w:p>
        </w:tc>
      </w:tr>
      <w:tr w:rsidR="006D6A15" w:rsidRPr="006D6A15" w14:paraId="05A1985E"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8EB1C6"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6ECEC" w14:textId="77777777" w:rsidR="006D6A15" w:rsidRPr="006D6A15" w:rsidRDefault="006D6A15" w:rsidP="006D6A15">
            <w:pPr>
              <w:pStyle w:val="Default"/>
            </w:pPr>
            <w:r w:rsidRPr="006D6A15">
              <w:t>2. CAU 114, EMAD Facility</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FBD41A" w14:textId="77777777" w:rsidR="006D6A15" w:rsidRPr="006D6A15" w:rsidRDefault="006D6A15" w:rsidP="006D6A15">
            <w:pPr>
              <w:pStyle w:val="Default"/>
            </w:pPr>
            <w:r w:rsidRPr="006D6A15">
              <w:t>349,405</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04D664" w14:textId="77777777" w:rsidR="006D6A15" w:rsidRPr="006D6A15" w:rsidRDefault="006D6A15" w:rsidP="006D6A15">
            <w:pPr>
              <w:pStyle w:val="Default"/>
            </w:pPr>
            <w:r w:rsidRPr="006D6A15">
              <w:t>349,405</w:t>
            </w:r>
          </w:p>
        </w:tc>
      </w:tr>
      <w:tr w:rsidR="006D6A15" w:rsidRPr="006D6A15" w14:paraId="335A5793"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5F000E"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91CB84" w14:textId="77777777" w:rsidR="006D6A15" w:rsidRPr="006D6A15" w:rsidRDefault="006D6A15" w:rsidP="006D6A15">
            <w:pPr>
              <w:pStyle w:val="Default"/>
            </w:pPr>
            <w:r w:rsidRPr="006D6A15">
              <w:t>3. CAU 578, Miscellaneous Inactive Sites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3943CC" w14:textId="77777777" w:rsidR="006D6A15" w:rsidRPr="006D6A15" w:rsidRDefault="006D6A15" w:rsidP="006D6A15">
            <w:pPr>
              <w:pStyle w:val="Default"/>
            </w:pPr>
            <w:r w:rsidRPr="006D6A15">
              <w:t>50,000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EAAF77" w14:textId="77777777" w:rsidR="006D6A15" w:rsidRPr="006D6A15" w:rsidRDefault="006D6A15" w:rsidP="006D6A15">
            <w:pPr>
              <w:pStyle w:val="Default"/>
            </w:pPr>
            <w:r w:rsidRPr="006D6A15">
              <w:t>50,000</w:t>
            </w:r>
          </w:p>
        </w:tc>
      </w:tr>
      <w:tr w:rsidR="006D6A15" w:rsidRPr="006D6A15" w14:paraId="555159D1" w14:textId="77777777" w:rsidTr="00EC0EE9">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DE7919" w14:textId="77777777" w:rsidR="006D6A15" w:rsidRPr="006D6A15" w:rsidRDefault="006D6A15" w:rsidP="006D6A15">
            <w:pPr>
              <w:pStyle w:val="Default"/>
            </w:pPr>
            <w:r w:rsidRPr="006D6A15">
              <w:rPr>
                <w:b/>
                <w:bCs/>
              </w:rPr>
              <w:t>3 – Program Integration</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D86DA1" w14:textId="77777777" w:rsidR="006D6A15" w:rsidRPr="006D6A15" w:rsidRDefault="006D6A15" w:rsidP="006D6A15">
            <w:pPr>
              <w:pStyle w:val="Default"/>
            </w:pPr>
            <w:r w:rsidRPr="006D6A15">
              <w:t>1. Continue Progress on FFACO Transition Document</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8025" w14:textId="77777777" w:rsidR="006D6A15" w:rsidRPr="006D6A15" w:rsidRDefault="006D6A15" w:rsidP="006D6A15">
            <w:pPr>
              <w:pStyle w:val="Default"/>
            </w:pPr>
            <w:r w:rsidRPr="006D6A15">
              <w:t>20,000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AF04B" w14:textId="77777777" w:rsidR="006D6A15" w:rsidRPr="006D6A15" w:rsidRDefault="006D6A15" w:rsidP="006D6A15">
            <w:pPr>
              <w:pStyle w:val="Default"/>
            </w:pPr>
            <w:r w:rsidRPr="006D6A15">
              <w:t>20,000</w:t>
            </w:r>
          </w:p>
        </w:tc>
      </w:tr>
      <w:tr w:rsidR="006D6A15" w:rsidRPr="006D6A15" w14:paraId="24A602BA"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EF8856"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E03CF" w14:textId="77777777" w:rsidR="006D6A15" w:rsidRPr="006D6A15" w:rsidRDefault="006D6A15" w:rsidP="006D6A15">
            <w:pPr>
              <w:pStyle w:val="Default"/>
            </w:pPr>
            <w:r w:rsidRPr="006D6A15">
              <w:t>2. Continue Progress Towards Completion of the FFACO Appendix VII</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1B8" w14:textId="77777777" w:rsidR="006D6A15" w:rsidRPr="006D6A15" w:rsidRDefault="006D6A15" w:rsidP="006D6A15">
            <w:pPr>
              <w:pStyle w:val="Default"/>
            </w:pPr>
            <w:r w:rsidRPr="006D6A15">
              <w:t>40,000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B840E" w14:textId="77777777" w:rsidR="006D6A15" w:rsidRPr="006D6A15" w:rsidRDefault="006D6A15" w:rsidP="006D6A15">
            <w:pPr>
              <w:pStyle w:val="Default"/>
            </w:pPr>
            <w:r w:rsidRPr="006D6A15">
              <w:t>40,000</w:t>
            </w:r>
          </w:p>
        </w:tc>
      </w:tr>
      <w:tr w:rsidR="006D6A15" w:rsidRPr="006D6A15" w14:paraId="3C136F71"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C353F1"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780B22" w14:textId="77777777" w:rsidR="006D6A15" w:rsidRPr="006D6A15" w:rsidRDefault="006D6A15" w:rsidP="006D6A15">
            <w:pPr>
              <w:pStyle w:val="Default"/>
            </w:pPr>
            <w:r w:rsidRPr="006D6A15">
              <w:t>3. Environmental Management Information System</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FF53D" w14:textId="77777777" w:rsidR="006D6A15" w:rsidRPr="006D6A15" w:rsidRDefault="006D6A15" w:rsidP="006D6A15">
            <w:pPr>
              <w:pStyle w:val="Default"/>
            </w:pPr>
            <w:r w:rsidRPr="006D6A15">
              <w:t>50,000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7FEF7C" w14:textId="77777777" w:rsidR="006D6A15" w:rsidRPr="006D6A15" w:rsidRDefault="006D6A15" w:rsidP="006D6A15">
            <w:pPr>
              <w:pStyle w:val="Default"/>
            </w:pPr>
            <w:r w:rsidRPr="006D6A15">
              <w:t>10,000</w:t>
            </w:r>
          </w:p>
        </w:tc>
      </w:tr>
      <w:tr w:rsidR="006D6A15" w:rsidRPr="006D6A15" w14:paraId="045C66A5"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A72495"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333C80" w14:textId="77777777" w:rsidR="006D6A15" w:rsidRPr="006D6A15" w:rsidRDefault="006D6A15" w:rsidP="006D6A15">
            <w:pPr>
              <w:pStyle w:val="Default"/>
            </w:pPr>
            <w:r w:rsidRPr="006D6A15">
              <w:t>4. Electronic SharePoint for Waste Profiles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A4C235" w14:textId="77777777" w:rsidR="006D6A15" w:rsidRPr="006D6A15" w:rsidRDefault="006D6A15" w:rsidP="006D6A15">
            <w:pPr>
              <w:pStyle w:val="Default"/>
            </w:pPr>
            <w:r w:rsidRPr="006D6A15">
              <w:t>30,000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BB3E94" w14:textId="77777777" w:rsidR="006D6A15" w:rsidRPr="006D6A15" w:rsidRDefault="006D6A15" w:rsidP="006D6A15">
            <w:pPr>
              <w:pStyle w:val="Default"/>
            </w:pPr>
            <w:r w:rsidRPr="006D6A15">
              <w:t>30,000</w:t>
            </w:r>
          </w:p>
        </w:tc>
      </w:tr>
      <w:tr w:rsidR="006D6A15" w:rsidRPr="006D6A15" w14:paraId="69AAFA27"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DA883A"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A9136E" w14:textId="77777777" w:rsidR="006D6A15" w:rsidRPr="006D6A15" w:rsidRDefault="006D6A15" w:rsidP="006D6A15">
            <w:pPr>
              <w:pStyle w:val="Default"/>
            </w:pPr>
            <w:r w:rsidRPr="006D6A15">
              <w:t>5. Cyber Security</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5B2E31" w14:textId="77777777" w:rsidR="006D6A15" w:rsidRPr="006D6A15" w:rsidRDefault="006D6A15" w:rsidP="006D6A15">
            <w:pPr>
              <w:pStyle w:val="Default"/>
            </w:pPr>
            <w:r w:rsidRPr="006D6A15">
              <w:t>53,651</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07CF5C" w14:textId="77777777" w:rsidR="006D6A15" w:rsidRPr="006D6A15" w:rsidRDefault="006D6A15" w:rsidP="006D6A15">
            <w:pPr>
              <w:pStyle w:val="Default"/>
            </w:pPr>
            <w:r w:rsidRPr="006D6A15">
              <w:t>53,651</w:t>
            </w:r>
          </w:p>
        </w:tc>
      </w:tr>
      <w:tr w:rsidR="006D6A15" w:rsidRPr="006D6A15" w14:paraId="3B44B2D0"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B9324"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58B846" w14:textId="77777777" w:rsidR="006D6A15" w:rsidRPr="006D6A15" w:rsidRDefault="006D6A15" w:rsidP="006D6A15">
            <w:pPr>
              <w:pStyle w:val="Default"/>
            </w:pPr>
            <w:r w:rsidRPr="006D6A15">
              <w:t>6. Closure Affirmations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A23A5B" w14:textId="77777777" w:rsidR="006D6A15" w:rsidRPr="006D6A15" w:rsidRDefault="006D6A15" w:rsidP="006D6A15">
            <w:pPr>
              <w:pStyle w:val="Default"/>
            </w:pPr>
            <w:r w:rsidRPr="006D6A15">
              <w:t>15,000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5A8AD" w14:textId="77777777" w:rsidR="006D6A15" w:rsidRPr="006D6A15" w:rsidRDefault="006D6A15" w:rsidP="006D6A15">
            <w:pPr>
              <w:pStyle w:val="Default"/>
            </w:pPr>
            <w:r w:rsidRPr="006D6A15">
              <w:t>15,000</w:t>
            </w:r>
          </w:p>
        </w:tc>
      </w:tr>
      <w:tr w:rsidR="006D6A15" w:rsidRPr="006D6A15" w14:paraId="3ADF54BF" w14:textId="77777777" w:rsidTr="00EC0EE9">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8CB7B8" w14:textId="77777777" w:rsidR="006D6A15" w:rsidRPr="006D6A15" w:rsidRDefault="006D6A15" w:rsidP="006D6A15">
            <w:pPr>
              <w:pStyle w:val="Default"/>
            </w:pPr>
            <w:r w:rsidRPr="006D6A15">
              <w:rPr>
                <w:b/>
                <w:bCs/>
              </w:rPr>
              <w:t>4 – RWAP</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70E5BD" w14:textId="77777777" w:rsidR="006D6A15" w:rsidRPr="006D6A15" w:rsidRDefault="006D6A15" w:rsidP="006D6A15">
            <w:pPr>
              <w:pStyle w:val="Default"/>
            </w:pPr>
            <w:r w:rsidRPr="006D6A15">
              <w:t>1. Implement NNSSWAC Revision</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2A399D" w14:textId="77777777" w:rsidR="006D6A15" w:rsidRPr="006D6A15" w:rsidRDefault="006D6A15" w:rsidP="006D6A15">
            <w:pPr>
              <w:pStyle w:val="Default"/>
            </w:pPr>
            <w:r w:rsidRPr="006D6A15">
              <w:t>10,000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F0E71F" w14:textId="77777777" w:rsidR="006D6A15" w:rsidRPr="006D6A15" w:rsidRDefault="006D6A15" w:rsidP="006D6A15">
            <w:pPr>
              <w:pStyle w:val="Default"/>
            </w:pPr>
            <w:r w:rsidRPr="006D6A15">
              <w:t>10,000</w:t>
            </w:r>
          </w:p>
        </w:tc>
      </w:tr>
      <w:tr w:rsidR="006D6A15" w:rsidRPr="006D6A15" w14:paraId="0DEFCABE"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C2FDFA"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62A72" w14:textId="77777777" w:rsidR="006D6A15" w:rsidRPr="006D6A15" w:rsidRDefault="006D6A15" w:rsidP="006D6A15">
            <w:pPr>
              <w:pStyle w:val="Default"/>
            </w:pPr>
            <w:r w:rsidRPr="006D6A15">
              <w:t>2. Complete FEs of Waste Generators per Schedule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75453" w14:textId="77777777" w:rsidR="006D6A15" w:rsidRPr="006D6A15" w:rsidRDefault="006D6A15" w:rsidP="006D6A15">
            <w:pPr>
              <w:pStyle w:val="Default"/>
            </w:pPr>
            <w:r w:rsidRPr="006D6A15">
              <w:t>15,000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9A9FC2" w14:textId="77777777" w:rsidR="006D6A15" w:rsidRPr="006D6A15" w:rsidRDefault="006D6A15" w:rsidP="006D6A15">
            <w:pPr>
              <w:pStyle w:val="Default"/>
            </w:pPr>
            <w:r w:rsidRPr="006D6A15">
              <w:t>15,000</w:t>
            </w:r>
          </w:p>
        </w:tc>
      </w:tr>
      <w:tr w:rsidR="006D6A15" w:rsidRPr="006D6A15" w14:paraId="0BE33E1F"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4198D7"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914453" w14:textId="77777777" w:rsidR="006D6A15" w:rsidRPr="006D6A15" w:rsidRDefault="006D6A15" w:rsidP="006D6A15">
            <w:pPr>
              <w:pStyle w:val="Default"/>
            </w:pPr>
            <w:r w:rsidRPr="006D6A15">
              <w:t>3. Implement SharePoint Facility Evaluation Reporting</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F70449" w14:textId="77777777" w:rsidR="006D6A15" w:rsidRPr="006D6A15" w:rsidRDefault="006D6A15" w:rsidP="006D6A15">
            <w:pPr>
              <w:pStyle w:val="Default"/>
            </w:pPr>
            <w:r w:rsidRPr="006D6A15">
              <w:t>20,000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6C4016" w14:textId="77777777" w:rsidR="006D6A15" w:rsidRPr="006D6A15" w:rsidRDefault="006D6A15" w:rsidP="006D6A15">
            <w:pPr>
              <w:pStyle w:val="Default"/>
            </w:pPr>
            <w:r w:rsidRPr="006D6A15">
              <w:t>20,000</w:t>
            </w:r>
          </w:p>
        </w:tc>
      </w:tr>
      <w:tr w:rsidR="006D6A15" w:rsidRPr="006D6A15" w14:paraId="45B922C8"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D2F298"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B1880F" w14:textId="77777777" w:rsidR="006D6A15" w:rsidRPr="006D6A15" w:rsidRDefault="006D6A15" w:rsidP="006D6A15">
            <w:pPr>
              <w:pStyle w:val="Default"/>
            </w:pPr>
            <w:r w:rsidRPr="006D6A15">
              <w:t>4. Complete FY 2023 FOAV Actions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D954B" w14:textId="77777777" w:rsidR="006D6A15" w:rsidRPr="006D6A15" w:rsidRDefault="006D6A15" w:rsidP="006D6A15">
            <w:pPr>
              <w:pStyle w:val="Default"/>
            </w:pPr>
            <w:r w:rsidRPr="006D6A15">
              <w:t>40,000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154307" w14:textId="77777777" w:rsidR="006D6A15" w:rsidRPr="006D6A15" w:rsidRDefault="006D6A15" w:rsidP="006D6A15">
            <w:pPr>
              <w:pStyle w:val="Default"/>
            </w:pPr>
            <w:r w:rsidRPr="006D6A15">
              <w:t>40,000</w:t>
            </w:r>
          </w:p>
        </w:tc>
      </w:tr>
      <w:tr w:rsidR="006D6A15" w:rsidRPr="006D6A15" w14:paraId="27BAF8F2" w14:textId="77777777" w:rsidTr="00EC0EE9">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78382F" w14:textId="77777777" w:rsidR="006D6A15" w:rsidRPr="006D6A15" w:rsidRDefault="006D6A15" w:rsidP="006D6A15">
            <w:pPr>
              <w:pStyle w:val="Default"/>
            </w:pPr>
            <w:r w:rsidRPr="006D6A15">
              <w:rPr>
                <w:b/>
                <w:bCs/>
              </w:rPr>
              <w:t>5 – Post-Closure Monitoring</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1041A3" w14:textId="77777777" w:rsidR="006D6A15" w:rsidRPr="006D6A15" w:rsidRDefault="006D6A15" w:rsidP="006D6A15">
            <w:pPr>
              <w:pStyle w:val="Default"/>
            </w:pPr>
            <w:r w:rsidRPr="006D6A15">
              <w:t>1. Complete Post-Closure Monitoring and Reporting for Closed Groundwater CAUs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2C689" w14:textId="77777777" w:rsidR="006D6A15" w:rsidRPr="006D6A15" w:rsidRDefault="006D6A15" w:rsidP="006D6A15">
            <w:pPr>
              <w:pStyle w:val="Default"/>
            </w:pPr>
            <w:r w:rsidRPr="006D6A15">
              <w:t>75,000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7731B6" w14:textId="77777777" w:rsidR="006D6A15" w:rsidRPr="006D6A15" w:rsidRDefault="006D6A15" w:rsidP="006D6A15">
            <w:pPr>
              <w:pStyle w:val="Default"/>
            </w:pPr>
            <w:r w:rsidRPr="006D6A15">
              <w:t>75,000</w:t>
            </w:r>
          </w:p>
        </w:tc>
      </w:tr>
      <w:tr w:rsidR="006D6A15" w:rsidRPr="006D6A15" w14:paraId="757DE838"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D300F"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59889E" w14:textId="77777777" w:rsidR="006D6A15" w:rsidRPr="006D6A15" w:rsidRDefault="006D6A15" w:rsidP="006D6A15">
            <w:pPr>
              <w:pStyle w:val="Default"/>
            </w:pPr>
            <w:r w:rsidRPr="006D6A15">
              <w:t>2. Complete Post-Closure Inspection Reports for Closed RCRA &amp; Non-RCRA CAUs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ACEB7" w14:textId="77777777" w:rsidR="006D6A15" w:rsidRPr="006D6A15" w:rsidRDefault="006D6A15" w:rsidP="006D6A15">
            <w:pPr>
              <w:pStyle w:val="Default"/>
            </w:pPr>
            <w:r w:rsidRPr="006D6A15">
              <w:t>10,000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940F5" w14:textId="77777777" w:rsidR="006D6A15" w:rsidRPr="006D6A15" w:rsidRDefault="006D6A15" w:rsidP="006D6A15">
            <w:pPr>
              <w:pStyle w:val="Default"/>
            </w:pPr>
            <w:r w:rsidRPr="006D6A15">
              <w:t>10,000</w:t>
            </w:r>
          </w:p>
        </w:tc>
      </w:tr>
      <w:tr w:rsidR="006D6A15" w:rsidRPr="006D6A15" w14:paraId="07DA0940"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4297DD"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8EC4C" w14:textId="77777777" w:rsidR="006D6A15" w:rsidRPr="006D6A15" w:rsidRDefault="006D6A15" w:rsidP="006D6A15">
            <w:pPr>
              <w:pStyle w:val="Default"/>
            </w:pPr>
            <w:r w:rsidRPr="006D6A15">
              <w:t>3. Well Site Surveillance and Surface Cleanup</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E18EC" w14:textId="77777777" w:rsidR="006D6A15" w:rsidRPr="006D6A15" w:rsidRDefault="006D6A15" w:rsidP="006D6A15">
            <w:pPr>
              <w:pStyle w:val="Default"/>
            </w:pPr>
            <w:r w:rsidRPr="006D6A15">
              <w:t>5,000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AECC21" w14:textId="77777777" w:rsidR="006D6A15" w:rsidRPr="006D6A15" w:rsidRDefault="006D6A15" w:rsidP="006D6A15">
            <w:pPr>
              <w:pStyle w:val="Default"/>
            </w:pPr>
            <w:r w:rsidRPr="006D6A15">
              <w:t>5,000</w:t>
            </w:r>
          </w:p>
        </w:tc>
      </w:tr>
      <w:tr w:rsidR="006D6A15" w:rsidRPr="006D6A15" w14:paraId="3738AC10" w14:textId="77777777" w:rsidTr="00EC0EE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A18815" w14:textId="77777777" w:rsidR="006D6A15" w:rsidRPr="006D6A15" w:rsidRDefault="006D6A15" w:rsidP="006D6A15">
            <w:pPr>
              <w:pStyle w:val="Default"/>
            </w:pP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EE7170" w14:textId="77777777" w:rsidR="006D6A15" w:rsidRPr="006D6A15" w:rsidRDefault="006D6A15" w:rsidP="006D6A15">
            <w:pPr>
              <w:pStyle w:val="Default"/>
            </w:pPr>
            <w:r w:rsidRPr="006D6A15">
              <w:t>4. Complete Remaining Use Restriction Draft Updates</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28710" w14:textId="77777777" w:rsidR="006D6A15" w:rsidRPr="006D6A15" w:rsidRDefault="006D6A15" w:rsidP="006D6A15">
            <w:pPr>
              <w:pStyle w:val="Default"/>
            </w:pPr>
            <w:r w:rsidRPr="006D6A15">
              <w:t>10,000</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84658E" w14:textId="77777777" w:rsidR="006D6A15" w:rsidRPr="006D6A15" w:rsidRDefault="006D6A15" w:rsidP="006D6A15">
            <w:pPr>
              <w:pStyle w:val="Default"/>
            </w:pPr>
            <w:r w:rsidRPr="006D6A15">
              <w:t>10,000</w:t>
            </w:r>
          </w:p>
        </w:tc>
      </w:tr>
      <w:tr w:rsidR="006D6A15" w:rsidRPr="006D6A15" w14:paraId="1E0EFFD2" w14:textId="77777777" w:rsidTr="00EC0EE9">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DB37D" w14:textId="77777777" w:rsidR="006D6A15" w:rsidRPr="006D6A15" w:rsidRDefault="006D6A15" w:rsidP="006D6A15">
            <w:pPr>
              <w:pStyle w:val="Default"/>
            </w:pPr>
            <w:r w:rsidRPr="006D6A15">
              <w:rPr>
                <w:b/>
                <w:bCs/>
              </w:rPr>
              <w:t>Total</w:t>
            </w:r>
          </w:p>
        </w:tc>
        <w:tc>
          <w:tcPr>
            <w:tcW w:w="58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4B7570" w14:textId="77777777" w:rsidR="006D6A15" w:rsidRPr="006D6A15" w:rsidRDefault="006D6A15" w:rsidP="006D6A15">
            <w:pPr>
              <w:pStyle w:val="Default"/>
            </w:pPr>
            <w:r w:rsidRPr="006D6A15">
              <w:rPr>
                <w:b/>
                <w:bCs/>
              </w:rPr>
              <w:t>Maximum Available PBI Fee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E517EA" w14:textId="77777777" w:rsidR="006D6A15" w:rsidRPr="006D6A15" w:rsidRDefault="006D6A15" w:rsidP="006D6A15">
            <w:pPr>
              <w:pStyle w:val="Default"/>
            </w:pPr>
            <w:r w:rsidRPr="006D6A15">
              <w:rPr>
                <w:b/>
                <w:bCs/>
              </w:rPr>
              <w:t>1,340,193</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D337C4" w14:textId="77777777" w:rsidR="006D6A15" w:rsidRPr="006D6A15" w:rsidRDefault="006D6A15" w:rsidP="006D6A15">
            <w:pPr>
              <w:pStyle w:val="Default"/>
            </w:pPr>
            <w:r w:rsidRPr="006D6A15">
              <w:rPr>
                <w:b/>
                <w:bCs/>
              </w:rPr>
              <w:t>1,280,193</w:t>
            </w:r>
          </w:p>
        </w:tc>
      </w:tr>
    </w:tbl>
    <w:p w14:paraId="1C1009D3" w14:textId="77777777" w:rsidR="006D6A15" w:rsidRDefault="006D6A15" w:rsidP="00E47F53">
      <w:pPr>
        <w:pStyle w:val="Default"/>
        <w:rPr>
          <w:sz w:val="22"/>
          <w:szCs w:val="22"/>
        </w:rPr>
      </w:pPr>
    </w:p>
    <w:sectPr w:rsidR="006D6A15" w:rsidSect="00D340FE">
      <w:footerReference w:type="default" r:id="rId12"/>
      <w:pgSz w:w="12240" w:h="15840"/>
      <w:pgMar w:top="1020" w:right="1480" w:bottom="1200" w:left="860" w:header="0" w:footer="705"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5A4B" w14:textId="77777777" w:rsidR="00BE6273" w:rsidRDefault="00BE6273">
      <w:pPr>
        <w:spacing w:after="0" w:line="240" w:lineRule="auto"/>
      </w:pPr>
      <w:r>
        <w:separator/>
      </w:r>
    </w:p>
  </w:endnote>
  <w:endnote w:type="continuationSeparator" w:id="0">
    <w:p w14:paraId="6BD2D917" w14:textId="77777777" w:rsidR="00BE6273" w:rsidRDefault="00BE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9748"/>
      <w:docPartObj>
        <w:docPartGallery w:val="Page Numbers (Bottom of Page)"/>
        <w:docPartUnique/>
      </w:docPartObj>
    </w:sdtPr>
    <w:sdtEndPr>
      <w:rPr>
        <w:noProof/>
      </w:rPr>
    </w:sdtEndPr>
    <w:sdtContent>
      <w:p w14:paraId="08B8BBB2" w14:textId="7B83236C" w:rsidR="00023357" w:rsidRDefault="00023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C97E8" w14:textId="77777777" w:rsidR="00023357" w:rsidRDefault="0002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7DAB" w14:textId="77777777" w:rsidR="00BE6273" w:rsidRDefault="00BE6273">
      <w:pPr>
        <w:spacing w:after="0" w:line="240" w:lineRule="auto"/>
      </w:pPr>
      <w:r>
        <w:separator/>
      </w:r>
    </w:p>
  </w:footnote>
  <w:footnote w:type="continuationSeparator" w:id="0">
    <w:p w14:paraId="64194656" w14:textId="77777777" w:rsidR="00BE6273" w:rsidRDefault="00BE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92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13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A325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1C0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2192C"/>
    <w:multiLevelType w:val="hybridMultilevel"/>
    <w:tmpl w:val="FFFFFFFF"/>
    <w:lvl w:ilvl="0" w:tplc="DD7C6FC8">
      <w:start w:val="1"/>
      <w:numFmt w:val="upp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C06F79"/>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F928E0"/>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1E63B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C7D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02E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61D7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768E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300633">
    <w:abstractNumId w:val="1"/>
  </w:num>
  <w:num w:numId="2" w16cid:durableId="1008943219">
    <w:abstractNumId w:val="0"/>
  </w:num>
  <w:num w:numId="3" w16cid:durableId="1165977731">
    <w:abstractNumId w:val="3"/>
  </w:num>
  <w:num w:numId="4" w16cid:durableId="748815243">
    <w:abstractNumId w:val="2"/>
  </w:num>
  <w:num w:numId="5" w16cid:durableId="225260226">
    <w:abstractNumId w:val="4"/>
  </w:num>
  <w:num w:numId="6" w16cid:durableId="1774278693">
    <w:abstractNumId w:val="10"/>
  </w:num>
  <w:num w:numId="7" w16cid:durableId="1566911048">
    <w:abstractNumId w:val="11"/>
  </w:num>
  <w:num w:numId="8" w16cid:durableId="1018972564">
    <w:abstractNumId w:val="8"/>
  </w:num>
  <w:num w:numId="9" w16cid:durableId="2085949471">
    <w:abstractNumId w:val="7"/>
  </w:num>
  <w:num w:numId="10" w16cid:durableId="416825751">
    <w:abstractNumId w:val="5"/>
  </w:num>
  <w:num w:numId="11" w16cid:durableId="2016688828">
    <w:abstractNumId w:val="6"/>
  </w:num>
  <w:num w:numId="12" w16cid:durableId="286738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B7"/>
    <w:rsid w:val="00016646"/>
    <w:rsid w:val="00021B78"/>
    <w:rsid w:val="00023357"/>
    <w:rsid w:val="00045B56"/>
    <w:rsid w:val="00046CF7"/>
    <w:rsid w:val="0006645A"/>
    <w:rsid w:val="00083B81"/>
    <w:rsid w:val="0009493D"/>
    <w:rsid w:val="000A161B"/>
    <w:rsid w:val="000A4965"/>
    <w:rsid w:val="000A6F96"/>
    <w:rsid w:val="000D4C9B"/>
    <w:rsid w:val="000F4006"/>
    <w:rsid w:val="00104949"/>
    <w:rsid w:val="00104E8F"/>
    <w:rsid w:val="00111EFE"/>
    <w:rsid w:val="001218F9"/>
    <w:rsid w:val="00130CE5"/>
    <w:rsid w:val="001420D8"/>
    <w:rsid w:val="0014413C"/>
    <w:rsid w:val="00146DD0"/>
    <w:rsid w:val="00147D03"/>
    <w:rsid w:val="0016081A"/>
    <w:rsid w:val="00160FC6"/>
    <w:rsid w:val="00165D8B"/>
    <w:rsid w:val="0018173A"/>
    <w:rsid w:val="00184955"/>
    <w:rsid w:val="001919A6"/>
    <w:rsid w:val="001A5CFD"/>
    <w:rsid w:val="001B176A"/>
    <w:rsid w:val="001C20CE"/>
    <w:rsid w:val="001C579C"/>
    <w:rsid w:val="001E44C4"/>
    <w:rsid w:val="001E6228"/>
    <w:rsid w:val="001E6688"/>
    <w:rsid w:val="001F47FA"/>
    <w:rsid w:val="001F6333"/>
    <w:rsid w:val="00201700"/>
    <w:rsid w:val="00206BC7"/>
    <w:rsid w:val="00217A69"/>
    <w:rsid w:val="00241D58"/>
    <w:rsid w:val="00246C65"/>
    <w:rsid w:val="00247719"/>
    <w:rsid w:val="00261937"/>
    <w:rsid w:val="0027011D"/>
    <w:rsid w:val="00277475"/>
    <w:rsid w:val="00295E7C"/>
    <w:rsid w:val="002B2A8C"/>
    <w:rsid w:val="002C2C6E"/>
    <w:rsid w:val="002D22A0"/>
    <w:rsid w:val="002E1F40"/>
    <w:rsid w:val="003021D8"/>
    <w:rsid w:val="0030608A"/>
    <w:rsid w:val="00315470"/>
    <w:rsid w:val="00322CEB"/>
    <w:rsid w:val="0032318C"/>
    <w:rsid w:val="00323367"/>
    <w:rsid w:val="00364A9C"/>
    <w:rsid w:val="00365C1D"/>
    <w:rsid w:val="003666E5"/>
    <w:rsid w:val="00387CB0"/>
    <w:rsid w:val="003B04A1"/>
    <w:rsid w:val="003B5E78"/>
    <w:rsid w:val="003E1ED5"/>
    <w:rsid w:val="003E7044"/>
    <w:rsid w:val="003F270D"/>
    <w:rsid w:val="0040040F"/>
    <w:rsid w:val="00401954"/>
    <w:rsid w:val="00401FE2"/>
    <w:rsid w:val="004021C8"/>
    <w:rsid w:val="00402AC3"/>
    <w:rsid w:val="00412648"/>
    <w:rsid w:val="00421404"/>
    <w:rsid w:val="0045556A"/>
    <w:rsid w:val="004606B7"/>
    <w:rsid w:val="00461016"/>
    <w:rsid w:val="00486528"/>
    <w:rsid w:val="00491BA8"/>
    <w:rsid w:val="004A040F"/>
    <w:rsid w:val="004B6541"/>
    <w:rsid w:val="004C0921"/>
    <w:rsid w:val="004D1FB3"/>
    <w:rsid w:val="004D6000"/>
    <w:rsid w:val="004E463E"/>
    <w:rsid w:val="004E6D77"/>
    <w:rsid w:val="0052177C"/>
    <w:rsid w:val="005818BE"/>
    <w:rsid w:val="00591252"/>
    <w:rsid w:val="005C10A3"/>
    <w:rsid w:val="005E10E1"/>
    <w:rsid w:val="005E1B9E"/>
    <w:rsid w:val="005E6662"/>
    <w:rsid w:val="005F797C"/>
    <w:rsid w:val="00604A45"/>
    <w:rsid w:val="00604DB3"/>
    <w:rsid w:val="00606287"/>
    <w:rsid w:val="00611D3B"/>
    <w:rsid w:val="00623FF2"/>
    <w:rsid w:val="00672C0E"/>
    <w:rsid w:val="00674634"/>
    <w:rsid w:val="006748A8"/>
    <w:rsid w:val="006912D3"/>
    <w:rsid w:val="00697A9E"/>
    <w:rsid w:val="006A705F"/>
    <w:rsid w:val="006B57F5"/>
    <w:rsid w:val="006C1B65"/>
    <w:rsid w:val="006C2E56"/>
    <w:rsid w:val="006C5657"/>
    <w:rsid w:val="006D6A15"/>
    <w:rsid w:val="006E5C2A"/>
    <w:rsid w:val="006F02DB"/>
    <w:rsid w:val="006F54F6"/>
    <w:rsid w:val="00700286"/>
    <w:rsid w:val="0073261A"/>
    <w:rsid w:val="00734C50"/>
    <w:rsid w:val="007614C8"/>
    <w:rsid w:val="00774996"/>
    <w:rsid w:val="007977F5"/>
    <w:rsid w:val="007A06D0"/>
    <w:rsid w:val="007B000C"/>
    <w:rsid w:val="007B24BE"/>
    <w:rsid w:val="007B76BB"/>
    <w:rsid w:val="007C2D86"/>
    <w:rsid w:val="007C569B"/>
    <w:rsid w:val="007D31A3"/>
    <w:rsid w:val="007E1A43"/>
    <w:rsid w:val="007F5D1C"/>
    <w:rsid w:val="008004C9"/>
    <w:rsid w:val="00803F3A"/>
    <w:rsid w:val="00820318"/>
    <w:rsid w:val="00822BD2"/>
    <w:rsid w:val="008408CD"/>
    <w:rsid w:val="00842D12"/>
    <w:rsid w:val="00842E87"/>
    <w:rsid w:val="00847AA6"/>
    <w:rsid w:val="00852E70"/>
    <w:rsid w:val="00860F88"/>
    <w:rsid w:val="008679CF"/>
    <w:rsid w:val="008741FE"/>
    <w:rsid w:val="00883093"/>
    <w:rsid w:val="00896DF1"/>
    <w:rsid w:val="008A3E5C"/>
    <w:rsid w:val="008F2A4B"/>
    <w:rsid w:val="0091328D"/>
    <w:rsid w:val="00914C7C"/>
    <w:rsid w:val="00921423"/>
    <w:rsid w:val="00923701"/>
    <w:rsid w:val="00943C6A"/>
    <w:rsid w:val="00966621"/>
    <w:rsid w:val="009710E9"/>
    <w:rsid w:val="00976BEA"/>
    <w:rsid w:val="00992086"/>
    <w:rsid w:val="009B54D9"/>
    <w:rsid w:val="009C28B7"/>
    <w:rsid w:val="009C4F3E"/>
    <w:rsid w:val="009E6ECA"/>
    <w:rsid w:val="009F03D4"/>
    <w:rsid w:val="00A00580"/>
    <w:rsid w:val="00A0153C"/>
    <w:rsid w:val="00A12E07"/>
    <w:rsid w:val="00A22356"/>
    <w:rsid w:val="00A46AD3"/>
    <w:rsid w:val="00A534D6"/>
    <w:rsid w:val="00AA7452"/>
    <w:rsid w:val="00AD20CB"/>
    <w:rsid w:val="00AE6743"/>
    <w:rsid w:val="00AE779E"/>
    <w:rsid w:val="00B048CE"/>
    <w:rsid w:val="00B12418"/>
    <w:rsid w:val="00B140A4"/>
    <w:rsid w:val="00B16E72"/>
    <w:rsid w:val="00B16F58"/>
    <w:rsid w:val="00B23704"/>
    <w:rsid w:val="00B25D22"/>
    <w:rsid w:val="00B359BE"/>
    <w:rsid w:val="00B4127B"/>
    <w:rsid w:val="00B41878"/>
    <w:rsid w:val="00B46412"/>
    <w:rsid w:val="00B525B5"/>
    <w:rsid w:val="00B542D0"/>
    <w:rsid w:val="00B60B34"/>
    <w:rsid w:val="00B72A51"/>
    <w:rsid w:val="00B86546"/>
    <w:rsid w:val="00B96067"/>
    <w:rsid w:val="00BA1420"/>
    <w:rsid w:val="00BB67C4"/>
    <w:rsid w:val="00BC4CCF"/>
    <w:rsid w:val="00BC6FA7"/>
    <w:rsid w:val="00BD34F6"/>
    <w:rsid w:val="00BD3EDC"/>
    <w:rsid w:val="00BD5B95"/>
    <w:rsid w:val="00BE6273"/>
    <w:rsid w:val="00BF5C4F"/>
    <w:rsid w:val="00C0434F"/>
    <w:rsid w:val="00C070CA"/>
    <w:rsid w:val="00C1359E"/>
    <w:rsid w:val="00C15031"/>
    <w:rsid w:val="00C15DAE"/>
    <w:rsid w:val="00C20793"/>
    <w:rsid w:val="00C349AB"/>
    <w:rsid w:val="00C42098"/>
    <w:rsid w:val="00C55027"/>
    <w:rsid w:val="00C56C85"/>
    <w:rsid w:val="00C63C33"/>
    <w:rsid w:val="00C667E0"/>
    <w:rsid w:val="00C71E75"/>
    <w:rsid w:val="00C837B6"/>
    <w:rsid w:val="00C845EA"/>
    <w:rsid w:val="00C9081B"/>
    <w:rsid w:val="00C93297"/>
    <w:rsid w:val="00C9717F"/>
    <w:rsid w:val="00CD02AD"/>
    <w:rsid w:val="00CD04B2"/>
    <w:rsid w:val="00CE3E7D"/>
    <w:rsid w:val="00CF3164"/>
    <w:rsid w:val="00D0234B"/>
    <w:rsid w:val="00D16241"/>
    <w:rsid w:val="00D1698C"/>
    <w:rsid w:val="00D3279C"/>
    <w:rsid w:val="00D340FE"/>
    <w:rsid w:val="00D51518"/>
    <w:rsid w:val="00D540A2"/>
    <w:rsid w:val="00D55B00"/>
    <w:rsid w:val="00DA186F"/>
    <w:rsid w:val="00DB2F7A"/>
    <w:rsid w:val="00DB60C9"/>
    <w:rsid w:val="00DD178D"/>
    <w:rsid w:val="00DD63BE"/>
    <w:rsid w:val="00DD6789"/>
    <w:rsid w:val="00DD7FF5"/>
    <w:rsid w:val="00DE7EFB"/>
    <w:rsid w:val="00DF06C3"/>
    <w:rsid w:val="00DF34E6"/>
    <w:rsid w:val="00E110A3"/>
    <w:rsid w:val="00E115F0"/>
    <w:rsid w:val="00E121C8"/>
    <w:rsid w:val="00E23DCC"/>
    <w:rsid w:val="00E32D04"/>
    <w:rsid w:val="00E3797F"/>
    <w:rsid w:val="00E408AB"/>
    <w:rsid w:val="00E43A2E"/>
    <w:rsid w:val="00E44224"/>
    <w:rsid w:val="00E47627"/>
    <w:rsid w:val="00E47F53"/>
    <w:rsid w:val="00E6644E"/>
    <w:rsid w:val="00E729B4"/>
    <w:rsid w:val="00E74F30"/>
    <w:rsid w:val="00E76388"/>
    <w:rsid w:val="00E95AD7"/>
    <w:rsid w:val="00E95B02"/>
    <w:rsid w:val="00EC0EE9"/>
    <w:rsid w:val="00EC3B8E"/>
    <w:rsid w:val="00EC7BD6"/>
    <w:rsid w:val="00EE3DC6"/>
    <w:rsid w:val="00EE6117"/>
    <w:rsid w:val="00EF412C"/>
    <w:rsid w:val="00F01185"/>
    <w:rsid w:val="00F1729B"/>
    <w:rsid w:val="00F32A57"/>
    <w:rsid w:val="00F37F7E"/>
    <w:rsid w:val="00F41364"/>
    <w:rsid w:val="00F52DDA"/>
    <w:rsid w:val="00F8200A"/>
    <w:rsid w:val="00F91A06"/>
    <w:rsid w:val="00F924B7"/>
    <w:rsid w:val="00FA2797"/>
    <w:rsid w:val="00FA47BD"/>
    <w:rsid w:val="00FB1A21"/>
    <w:rsid w:val="00FB2500"/>
    <w:rsid w:val="00FB28C8"/>
    <w:rsid w:val="00FD37EB"/>
    <w:rsid w:val="00FD4436"/>
    <w:rsid w:val="00FE0769"/>
    <w:rsid w:val="00FE242D"/>
    <w:rsid w:val="00FE4C17"/>
    <w:rsid w:val="00FE5F9B"/>
    <w:rsid w:val="00FF5464"/>
    <w:rsid w:val="13B0AE64"/>
    <w:rsid w:val="1658AAE7"/>
    <w:rsid w:val="1A62F926"/>
    <w:rsid w:val="5D079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11796C"/>
  <w14:defaultImageDpi w14:val="96"/>
  <w15:docId w15:val="{AE4958ED-F4C6-4E36-9339-C4DD8188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65"/>
    <w:pPr>
      <w:tabs>
        <w:tab w:val="center" w:pos="4680"/>
        <w:tab w:val="right" w:pos="9360"/>
      </w:tabs>
    </w:pPr>
  </w:style>
  <w:style w:type="character" w:customStyle="1" w:styleId="HeaderChar">
    <w:name w:val="Header Char"/>
    <w:basedOn w:val="DefaultParagraphFont"/>
    <w:link w:val="Header"/>
    <w:uiPriority w:val="99"/>
    <w:locked/>
    <w:rsid w:val="006C1B65"/>
    <w:rPr>
      <w:rFonts w:cs="Times New Roman"/>
    </w:rPr>
  </w:style>
  <w:style w:type="paragraph" w:styleId="Footer">
    <w:name w:val="footer"/>
    <w:basedOn w:val="Normal"/>
    <w:link w:val="FooterChar"/>
    <w:uiPriority w:val="99"/>
    <w:unhideWhenUsed/>
    <w:rsid w:val="006C1B65"/>
    <w:pPr>
      <w:tabs>
        <w:tab w:val="center" w:pos="4680"/>
        <w:tab w:val="right" w:pos="9360"/>
      </w:tabs>
    </w:pPr>
  </w:style>
  <w:style w:type="character" w:customStyle="1" w:styleId="FooterChar">
    <w:name w:val="Footer Char"/>
    <w:basedOn w:val="DefaultParagraphFont"/>
    <w:link w:val="Footer"/>
    <w:uiPriority w:val="99"/>
    <w:locked/>
    <w:rsid w:val="006C1B65"/>
    <w:rPr>
      <w:rFonts w:cs="Times New Roman"/>
    </w:rPr>
  </w:style>
  <w:style w:type="table" w:styleId="TableGrid">
    <w:name w:val="Table Grid"/>
    <w:basedOn w:val="TableNormal"/>
    <w:uiPriority w:val="39"/>
    <w:rsid w:val="006C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1B65"/>
    <w:pPr>
      <w:ind w:left="720"/>
      <w:contextualSpacing/>
    </w:pPr>
  </w:style>
  <w:style w:type="character" w:customStyle="1" w:styleId="ListParagraphChar">
    <w:name w:val="List Paragraph Char"/>
    <w:link w:val="ListParagraph"/>
    <w:uiPriority w:val="34"/>
    <w:locked/>
    <w:rsid w:val="006C1B65"/>
    <w:rPr>
      <w:rFonts w:eastAsia="Times New Roman"/>
    </w:rPr>
  </w:style>
  <w:style w:type="paragraph" w:customStyle="1" w:styleId="TableParagraph">
    <w:name w:val="Table Paragraph"/>
    <w:basedOn w:val="Normal"/>
    <w:uiPriority w:val="1"/>
    <w:qFormat/>
    <w:rsid w:val="00402AC3"/>
    <w:pPr>
      <w:widowControl w:val="0"/>
      <w:spacing w:after="0" w:line="240" w:lineRule="auto"/>
    </w:pPr>
  </w:style>
  <w:style w:type="paragraph" w:styleId="NoSpacing">
    <w:name w:val="No Spacing"/>
    <w:uiPriority w:val="1"/>
    <w:qFormat/>
    <w:rsid w:val="00402AC3"/>
    <w:pPr>
      <w:spacing w:after="0" w:line="240" w:lineRule="auto"/>
    </w:pPr>
  </w:style>
  <w:style w:type="paragraph" w:styleId="BalloonText">
    <w:name w:val="Balloon Text"/>
    <w:basedOn w:val="Normal"/>
    <w:link w:val="BalloonTextChar"/>
    <w:uiPriority w:val="99"/>
    <w:rsid w:val="005E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5E10E1"/>
    <w:rPr>
      <w:rFonts w:ascii="Segoe UI" w:hAnsi="Segoe UI" w:cs="Segoe UI"/>
      <w:sz w:val="18"/>
      <w:szCs w:val="18"/>
    </w:rPr>
  </w:style>
  <w:style w:type="character" w:styleId="Hyperlink">
    <w:name w:val="Hyperlink"/>
    <w:basedOn w:val="DefaultParagraphFont"/>
    <w:uiPriority w:val="99"/>
    <w:rsid w:val="006748A8"/>
    <w:rPr>
      <w:rFonts w:cs="Times New Roman"/>
      <w:color w:val="0000FF" w:themeColor="hyperlink"/>
      <w:u w:val="single"/>
    </w:rPr>
  </w:style>
  <w:style w:type="paragraph" w:customStyle="1" w:styleId="Default">
    <w:name w:val="Default"/>
    <w:rsid w:val="00BD5B95"/>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rsid w:val="00C71E75"/>
    <w:rPr>
      <w:rFonts w:cs="Times New Roman"/>
      <w:sz w:val="16"/>
      <w:szCs w:val="16"/>
    </w:rPr>
  </w:style>
  <w:style w:type="paragraph" w:styleId="CommentText">
    <w:name w:val="annotation text"/>
    <w:basedOn w:val="Normal"/>
    <w:link w:val="CommentTextChar"/>
    <w:uiPriority w:val="99"/>
    <w:rsid w:val="00C71E75"/>
    <w:rPr>
      <w:sz w:val="20"/>
      <w:szCs w:val="20"/>
    </w:rPr>
  </w:style>
  <w:style w:type="character" w:customStyle="1" w:styleId="CommentTextChar">
    <w:name w:val="Comment Text Char"/>
    <w:basedOn w:val="DefaultParagraphFont"/>
    <w:link w:val="CommentText"/>
    <w:uiPriority w:val="99"/>
    <w:locked/>
    <w:rsid w:val="00C71E75"/>
    <w:rPr>
      <w:rFonts w:cs="Times New Roman"/>
      <w:sz w:val="20"/>
      <w:szCs w:val="20"/>
    </w:rPr>
  </w:style>
  <w:style w:type="paragraph" w:styleId="CommentSubject">
    <w:name w:val="annotation subject"/>
    <w:basedOn w:val="CommentText"/>
    <w:next w:val="CommentText"/>
    <w:link w:val="CommentSubjectChar"/>
    <w:uiPriority w:val="99"/>
    <w:rsid w:val="00C71E75"/>
    <w:rPr>
      <w:b/>
      <w:bCs/>
    </w:rPr>
  </w:style>
  <w:style w:type="character" w:customStyle="1" w:styleId="CommentSubjectChar">
    <w:name w:val="Comment Subject Char"/>
    <w:basedOn w:val="CommentTextChar"/>
    <w:link w:val="CommentSubject"/>
    <w:uiPriority w:val="99"/>
    <w:locked/>
    <w:rsid w:val="00C71E75"/>
    <w:rPr>
      <w:rFonts w:cs="Times New Roman"/>
      <w:b/>
      <w:bCs/>
      <w:sz w:val="20"/>
      <w:szCs w:val="20"/>
    </w:rPr>
  </w:style>
  <w:style w:type="paragraph" w:styleId="Revision">
    <w:name w:val="Revision"/>
    <w:hidden/>
    <w:uiPriority w:val="99"/>
    <w:semiHidden/>
    <w:rsid w:val="005E1B9E"/>
    <w:pPr>
      <w:spacing w:after="0" w:line="240" w:lineRule="auto"/>
    </w:pPr>
  </w:style>
  <w:style w:type="table" w:styleId="GridTable4-Accent1">
    <w:name w:val="Grid Table 4 Accent 1"/>
    <w:basedOn w:val="TableNormal"/>
    <w:uiPriority w:val="49"/>
    <w:rsid w:val="00D5151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9350">
      <w:marLeft w:val="0"/>
      <w:marRight w:val="0"/>
      <w:marTop w:val="0"/>
      <w:marBottom w:val="0"/>
      <w:divBdr>
        <w:top w:val="none" w:sz="0" w:space="0" w:color="auto"/>
        <w:left w:val="none" w:sz="0" w:space="0" w:color="auto"/>
        <w:bottom w:val="none" w:sz="0" w:space="0" w:color="auto"/>
        <w:right w:val="none" w:sz="0" w:space="0" w:color="auto"/>
      </w:divBdr>
    </w:div>
    <w:div w:id="579759351">
      <w:marLeft w:val="0"/>
      <w:marRight w:val="0"/>
      <w:marTop w:val="0"/>
      <w:marBottom w:val="0"/>
      <w:divBdr>
        <w:top w:val="none" w:sz="0" w:space="0" w:color="auto"/>
        <w:left w:val="none" w:sz="0" w:space="0" w:color="auto"/>
        <w:bottom w:val="none" w:sz="0" w:space="0" w:color="auto"/>
        <w:right w:val="none" w:sz="0" w:space="0" w:color="auto"/>
      </w:divBdr>
    </w:div>
    <w:div w:id="579759352">
      <w:marLeft w:val="0"/>
      <w:marRight w:val="0"/>
      <w:marTop w:val="0"/>
      <w:marBottom w:val="0"/>
      <w:divBdr>
        <w:top w:val="none" w:sz="0" w:space="0" w:color="auto"/>
        <w:left w:val="none" w:sz="0" w:space="0" w:color="auto"/>
        <w:bottom w:val="none" w:sz="0" w:space="0" w:color="auto"/>
        <w:right w:val="none" w:sz="0" w:space="0" w:color="auto"/>
      </w:divBdr>
    </w:div>
    <w:div w:id="579759353">
      <w:marLeft w:val="0"/>
      <w:marRight w:val="0"/>
      <w:marTop w:val="0"/>
      <w:marBottom w:val="0"/>
      <w:divBdr>
        <w:top w:val="none" w:sz="0" w:space="0" w:color="auto"/>
        <w:left w:val="none" w:sz="0" w:space="0" w:color="auto"/>
        <w:bottom w:val="none" w:sz="0" w:space="0" w:color="auto"/>
        <w:right w:val="none" w:sz="0" w:space="0" w:color="auto"/>
      </w:divBdr>
    </w:div>
    <w:div w:id="579759354">
      <w:marLeft w:val="0"/>
      <w:marRight w:val="0"/>
      <w:marTop w:val="0"/>
      <w:marBottom w:val="0"/>
      <w:divBdr>
        <w:top w:val="none" w:sz="0" w:space="0" w:color="auto"/>
        <w:left w:val="none" w:sz="0" w:space="0" w:color="auto"/>
        <w:bottom w:val="none" w:sz="0" w:space="0" w:color="auto"/>
        <w:right w:val="none" w:sz="0" w:space="0" w:color="auto"/>
      </w:divBdr>
    </w:div>
    <w:div w:id="579759355">
      <w:marLeft w:val="0"/>
      <w:marRight w:val="0"/>
      <w:marTop w:val="0"/>
      <w:marBottom w:val="0"/>
      <w:divBdr>
        <w:top w:val="none" w:sz="0" w:space="0" w:color="auto"/>
        <w:left w:val="none" w:sz="0" w:space="0" w:color="auto"/>
        <w:bottom w:val="none" w:sz="0" w:space="0" w:color="auto"/>
        <w:right w:val="none" w:sz="0" w:space="0" w:color="auto"/>
      </w:divBdr>
    </w:div>
    <w:div w:id="579759356">
      <w:marLeft w:val="0"/>
      <w:marRight w:val="0"/>
      <w:marTop w:val="0"/>
      <w:marBottom w:val="0"/>
      <w:divBdr>
        <w:top w:val="none" w:sz="0" w:space="0" w:color="auto"/>
        <w:left w:val="none" w:sz="0" w:space="0" w:color="auto"/>
        <w:bottom w:val="none" w:sz="0" w:space="0" w:color="auto"/>
        <w:right w:val="none" w:sz="0" w:space="0" w:color="auto"/>
      </w:divBdr>
    </w:div>
    <w:div w:id="579759357">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579759359">
      <w:marLeft w:val="0"/>
      <w:marRight w:val="0"/>
      <w:marTop w:val="0"/>
      <w:marBottom w:val="0"/>
      <w:divBdr>
        <w:top w:val="none" w:sz="0" w:space="0" w:color="auto"/>
        <w:left w:val="none" w:sz="0" w:space="0" w:color="auto"/>
        <w:bottom w:val="none" w:sz="0" w:space="0" w:color="auto"/>
        <w:right w:val="none" w:sz="0" w:space="0" w:color="auto"/>
      </w:divBdr>
    </w:div>
    <w:div w:id="579759360">
      <w:marLeft w:val="0"/>
      <w:marRight w:val="0"/>
      <w:marTop w:val="0"/>
      <w:marBottom w:val="0"/>
      <w:divBdr>
        <w:top w:val="none" w:sz="0" w:space="0" w:color="auto"/>
        <w:left w:val="none" w:sz="0" w:space="0" w:color="auto"/>
        <w:bottom w:val="none" w:sz="0" w:space="0" w:color="auto"/>
        <w:right w:val="none" w:sz="0" w:space="0" w:color="auto"/>
      </w:divBdr>
    </w:div>
    <w:div w:id="579759361">
      <w:marLeft w:val="0"/>
      <w:marRight w:val="0"/>
      <w:marTop w:val="0"/>
      <w:marBottom w:val="0"/>
      <w:divBdr>
        <w:top w:val="none" w:sz="0" w:space="0" w:color="auto"/>
        <w:left w:val="none" w:sz="0" w:space="0" w:color="auto"/>
        <w:bottom w:val="none" w:sz="0" w:space="0" w:color="auto"/>
        <w:right w:val="none" w:sz="0" w:space="0" w:color="auto"/>
      </w:divBdr>
    </w:div>
    <w:div w:id="579759362">
      <w:marLeft w:val="0"/>
      <w:marRight w:val="0"/>
      <w:marTop w:val="0"/>
      <w:marBottom w:val="0"/>
      <w:divBdr>
        <w:top w:val="none" w:sz="0" w:space="0" w:color="auto"/>
        <w:left w:val="none" w:sz="0" w:space="0" w:color="auto"/>
        <w:bottom w:val="none" w:sz="0" w:space="0" w:color="auto"/>
        <w:right w:val="none" w:sz="0" w:space="0" w:color="auto"/>
      </w:divBdr>
    </w:div>
    <w:div w:id="579759363">
      <w:marLeft w:val="0"/>
      <w:marRight w:val="0"/>
      <w:marTop w:val="0"/>
      <w:marBottom w:val="0"/>
      <w:divBdr>
        <w:top w:val="none" w:sz="0" w:space="0" w:color="auto"/>
        <w:left w:val="none" w:sz="0" w:space="0" w:color="auto"/>
        <w:bottom w:val="none" w:sz="0" w:space="0" w:color="auto"/>
        <w:right w:val="none" w:sz="0" w:space="0" w:color="auto"/>
      </w:divBdr>
    </w:div>
    <w:div w:id="579759364">
      <w:marLeft w:val="0"/>
      <w:marRight w:val="0"/>
      <w:marTop w:val="0"/>
      <w:marBottom w:val="0"/>
      <w:divBdr>
        <w:top w:val="none" w:sz="0" w:space="0" w:color="auto"/>
        <w:left w:val="none" w:sz="0" w:space="0" w:color="auto"/>
        <w:bottom w:val="none" w:sz="0" w:space="0" w:color="auto"/>
        <w:right w:val="none" w:sz="0" w:space="0" w:color="auto"/>
      </w:divBdr>
    </w:div>
    <w:div w:id="579759365">
      <w:marLeft w:val="0"/>
      <w:marRight w:val="0"/>
      <w:marTop w:val="0"/>
      <w:marBottom w:val="0"/>
      <w:divBdr>
        <w:top w:val="none" w:sz="0" w:space="0" w:color="auto"/>
        <w:left w:val="none" w:sz="0" w:space="0" w:color="auto"/>
        <w:bottom w:val="none" w:sz="0" w:space="0" w:color="auto"/>
        <w:right w:val="none" w:sz="0" w:space="0" w:color="auto"/>
      </w:divBdr>
    </w:div>
    <w:div w:id="579759366">
      <w:marLeft w:val="0"/>
      <w:marRight w:val="0"/>
      <w:marTop w:val="0"/>
      <w:marBottom w:val="0"/>
      <w:divBdr>
        <w:top w:val="none" w:sz="0" w:space="0" w:color="auto"/>
        <w:left w:val="none" w:sz="0" w:space="0" w:color="auto"/>
        <w:bottom w:val="none" w:sz="0" w:space="0" w:color="auto"/>
        <w:right w:val="none" w:sz="0" w:space="0" w:color="auto"/>
      </w:divBdr>
    </w:div>
    <w:div w:id="579759367">
      <w:marLeft w:val="0"/>
      <w:marRight w:val="0"/>
      <w:marTop w:val="0"/>
      <w:marBottom w:val="0"/>
      <w:divBdr>
        <w:top w:val="none" w:sz="0" w:space="0" w:color="auto"/>
        <w:left w:val="none" w:sz="0" w:space="0" w:color="auto"/>
        <w:bottom w:val="none" w:sz="0" w:space="0" w:color="auto"/>
        <w:right w:val="none" w:sz="0" w:space="0" w:color="auto"/>
      </w:divBdr>
    </w:div>
    <w:div w:id="579759368">
      <w:marLeft w:val="0"/>
      <w:marRight w:val="0"/>
      <w:marTop w:val="0"/>
      <w:marBottom w:val="0"/>
      <w:divBdr>
        <w:top w:val="none" w:sz="0" w:space="0" w:color="auto"/>
        <w:left w:val="none" w:sz="0" w:space="0" w:color="auto"/>
        <w:bottom w:val="none" w:sz="0" w:space="0" w:color="auto"/>
        <w:right w:val="none" w:sz="0" w:space="0" w:color="auto"/>
      </w:divBdr>
    </w:div>
    <w:div w:id="579759369">
      <w:marLeft w:val="0"/>
      <w:marRight w:val="0"/>
      <w:marTop w:val="0"/>
      <w:marBottom w:val="0"/>
      <w:divBdr>
        <w:top w:val="none" w:sz="0" w:space="0" w:color="auto"/>
        <w:left w:val="none" w:sz="0" w:space="0" w:color="auto"/>
        <w:bottom w:val="none" w:sz="0" w:space="0" w:color="auto"/>
        <w:right w:val="none" w:sz="0" w:space="0" w:color="auto"/>
      </w:divBdr>
    </w:div>
    <w:div w:id="579759370">
      <w:marLeft w:val="0"/>
      <w:marRight w:val="0"/>
      <w:marTop w:val="0"/>
      <w:marBottom w:val="0"/>
      <w:divBdr>
        <w:top w:val="none" w:sz="0" w:space="0" w:color="auto"/>
        <w:left w:val="none" w:sz="0" w:space="0" w:color="auto"/>
        <w:bottom w:val="none" w:sz="0" w:space="0" w:color="auto"/>
        <w:right w:val="none" w:sz="0" w:space="0" w:color="auto"/>
      </w:divBdr>
    </w:div>
    <w:div w:id="579759371">
      <w:marLeft w:val="0"/>
      <w:marRight w:val="0"/>
      <w:marTop w:val="0"/>
      <w:marBottom w:val="0"/>
      <w:divBdr>
        <w:top w:val="none" w:sz="0" w:space="0" w:color="auto"/>
        <w:left w:val="none" w:sz="0" w:space="0" w:color="auto"/>
        <w:bottom w:val="none" w:sz="0" w:space="0" w:color="auto"/>
        <w:right w:val="none" w:sz="0" w:space="0" w:color="auto"/>
      </w:divBdr>
    </w:div>
    <w:div w:id="579759372">
      <w:marLeft w:val="0"/>
      <w:marRight w:val="0"/>
      <w:marTop w:val="0"/>
      <w:marBottom w:val="0"/>
      <w:divBdr>
        <w:top w:val="none" w:sz="0" w:space="0" w:color="auto"/>
        <w:left w:val="none" w:sz="0" w:space="0" w:color="auto"/>
        <w:bottom w:val="none" w:sz="0" w:space="0" w:color="auto"/>
        <w:right w:val="none" w:sz="0" w:space="0" w:color="auto"/>
      </w:divBdr>
    </w:div>
    <w:div w:id="579759373">
      <w:marLeft w:val="0"/>
      <w:marRight w:val="0"/>
      <w:marTop w:val="0"/>
      <w:marBottom w:val="0"/>
      <w:divBdr>
        <w:top w:val="none" w:sz="0" w:space="0" w:color="auto"/>
        <w:left w:val="none" w:sz="0" w:space="0" w:color="auto"/>
        <w:bottom w:val="none" w:sz="0" w:space="0" w:color="auto"/>
        <w:right w:val="none" w:sz="0" w:space="0" w:color="auto"/>
      </w:divBdr>
    </w:div>
    <w:div w:id="579759374">
      <w:marLeft w:val="0"/>
      <w:marRight w:val="0"/>
      <w:marTop w:val="0"/>
      <w:marBottom w:val="0"/>
      <w:divBdr>
        <w:top w:val="none" w:sz="0" w:space="0" w:color="auto"/>
        <w:left w:val="none" w:sz="0" w:space="0" w:color="auto"/>
        <w:bottom w:val="none" w:sz="0" w:space="0" w:color="auto"/>
        <w:right w:val="none" w:sz="0" w:space="0" w:color="auto"/>
      </w:divBdr>
    </w:div>
    <w:div w:id="579759375">
      <w:marLeft w:val="0"/>
      <w:marRight w:val="0"/>
      <w:marTop w:val="0"/>
      <w:marBottom w:val="0"/>
      <w:divBdr>
        <w:top w:val="none" w:sz="0" w:space="0" w:color="auto"/>
        <w:left w:val="none" w:sz="0" w:space="0" w:color="auto"/>
        <w:bottom w:val="none" w:sz="0" w:space="0" w:color="auto"/>
        <w:right w:val="none" w:sz="0" w:space="0" w:color="auto"/>
      </w:divBdr>
    </w:div>
    <w:div w:id="579759376">
      <w:marLeft w:val="0"/>
      <w:marRight w:val="0"/>
      <w:marTop w:val="0"/>
      <w:marBottom w:val="0"/>
      <w:divBdr>
        <w:top w:val="none" w:sz="0" w:space="0" w:color="auto"/>
        <w:left w:val="none" w:sz="0" w:space="0" w:color="auto"/>
        <w:bottom w:val="none" w:sz="0" w:space="0" w:color="auto"/>
        <w:right w:val="none" w:sz="0" w:space="0" w:color="auto"/>
      </w:divBdr>
    </w:div>
    <w:div w:id="579759377">
      <w:marLeft w:val="0"/>
      <w:marRight w:val="0"/>
      <w:marTop w:val="0"/>
      <w:marBottom w:val="0"/>
      <w:divBdr>
        <w:top w:val="none" w:sz="0" w:space="0" w:color="auto"/>
        <w:left w:val="none" w:sz="0" w:space="0" w:color="auto"/>
        <w:bottom w:val="none" w:sz="0" w:space="0" w:color="auto"/>
        <w:right w:val="none" w:sz="0" w:space="0" w:color="auto"/>
      </w:divBdr>
    </w:div>
    <w:div w:id="579759378">
      <w:marLeft w:val="0"/>
      <w:marRight w:val="0"/>
      <w:marTop w:val="0"/>
      <w:marBottom w:val="0"/>
      <w:divBdr>
        <w:top w:val="none" w:sz="0" w:space="0" w:color="auto"/>
        <w:left w:val="none" w:sz="0" w:space="0" w:color="auto"/>
        <w:bottom w:val="none" w:sz="0" w:space="0" w:color="auto"/>
        <w:right w:val="none" w:sz="0" w:space="0" w:color="auto"/>
      </w:divBdr>
    </w:div>
    <w:div w:id="579759379">
      <w:marLeft w:val="0"/>
      <w:marRight w:val="0"/>
      <w:marTop w:val="0"/>
      <w:marBottom w:val="0"/>
      <w:divBdr>
        <w:top w:val="none" w:sz="0" w:space="0" w:color="auto"/>
        <w:left w:val="none" w:sz="0" w:space="0" w:color="auto"/>
        <w:bottom w:val="none" w:sz="0" w:space="0" w:color="auto"/>
        <w:right w:val="none" w:sz="0" w:space="0" w:color="auto"/>
      </w:divBdr>
    </w:div>
    <w:div w:id="579759380">
      <w:marLeft w:val="0"/>
      <w:marRight w:val="0"/>
      <w:marTop w:val="0"/>
      <w:marBottom w:val="0"/>
      <w:divBdr>
        <w:top w:val="none" w:sz="0" w:space="0" w:color="auto"/>
        <w:left w:val="none" w:sz="0" w:space="0" w:color="auto"/>
        <w:bottom w:val="none" w:sz="0" w:space="0" w:color="auto"/>
        <w:right w:val="none" w:sz="0" w:space="0" w:color="auto"/>
      </w:divBdr>
    </w:div>
    <w:div w:id="19300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60D4C3180B74499FC803AF019113E8" ma:contentTypeVersion="13" ma:contentTypeDescription="Create a new document." ma:contentTypeScope="" ma:versionID="81f107e159d43c63df89df65a9970bcc">
  <xsd:schema xmlns:xsd="http://www.w3.org/2001/XMLSchema" xmlns:xs="http://www.w3.org/2001/XMLSchema" xmlns:p="http://schemas.microsoft.com/office/2006/metadata/properties" xmlns:ns2="e1c74cfd-b649-4c37-b86b-536fbf87245a" xmlns:ns3="8fbabf58-131e-4c6e-a68d-4109173993ea" targetNamespace="http://schemas.microsoft.com/office/2006/metadata/properties" ma:root="true" ma:fieldsID="ae3b1f9d37b56514380bb54961b1165c" ns2:_="" ns3:_="">
    <xsd:import namespace="e1c74cfd-b649-4c37-b86b-536fbf87245a"/>
    <xsd:import namespace="8fbabf58-131e-4c6e-a68d-4109173993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74cfd-b649-4c37-b86b-536fbf8724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ac9b156-700e-4194-9ad0-351669adb6eb}" ma:internalName="TaxCatchAll" ma:showField="CatchAllData" ma:web="e1c74cfd-b649-4c37-b86b-536fbf8724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babf58-131e-4c6e-a68d-4109173993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15f4282-0f09-4c14-9bce-6349117fe2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c74cfd-b649-4c37-b86b-536fbf87245a">SJ5YXEWY3FWJ-1794335376-640878</_dlc_DocId>
    <_dlc_DocIdUrl xmlns="e1c74cfd-b649-4c37-b86b-536fbf87245a">
      <Url>https://emcbc.sharepoint.com/sites/EMNV/_layouts/15/DocIdRedir.aspx?ID=SJ5YXEWY3FWJ-1794335376-640878</Url>
      <Description>SJ5YXEWY3FWJ-1794335376-640878</Description>
    </_dlc_DocIdUrl>
    <lcf76f155ced4ddcb4097134ff3c332f xmlns="8fbabf58-131e-4c6e-a68d-4109173993ea">
      <Terms xmlns="http://schemas.microsoft.com/office/infopath/2007/PartnerControls"/>
    </lcf76f155ced4ddcb4097134ff3c332f>
    <TaxCatchAll xmlns="e1c74cfd-b649-4c37-b86b-536fbf87245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0827B-75D7-450D-A8B5-1A2BC049CFFD}">
  <ds:schemaRefs>
    <ds:schemaRef ds:uri="http://schemas.microsoft.com/sharepoint/events"/>
  </ds:schemaRefs>
</ds:datastoreItem>
</file>

<file path=customXml/itemProps2.xml><?xml version="1.0" encoding="utf-8"?>
<ds:datastoreItem xmlns:ds="http://schemas.openxmlformats.org/officeDocument/2006/customXml" ds:itemID="{A7AC61A7-70C5-4AA4-9CCE-B6C96CDBC0BA}">
  <ds:schemaRefs>
    <ds:schemaRef ds:uri="http://schemas.openxmlformats.org/officeDocument/2006/bibliography"/>
  </ds:schemaRefs>
</ds:datastoreItem>
</file>

<file path=customXml/itemProps3.xml><?xml version="1.0" encoding="utf-8"?>
<ds:datastoreItem xmlns:ds="http://schemas.openxmlformats.org/officeDocument/2006/customXml" ds:itemID="{C57CED4E-F326-4D8B-8402-6E9DE025F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74cfd-b649-4c37-b86b-536fbf87245a"/>
    <ds:schemaRef ds:uri="8fbabf58-131e-4c6e-a68d-410917399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31106-7C5F-4856-8D7B-5BD0A4703AC6}">
  <ds:schemaRefs>
    <ds:schemaRef ds:uri="http://schemas.microsoft.com/office/2006/metadata/properties"/>
    <ds:schemaRef ds:uri="http://schemas.microsoft.com/office/infopath/2007/PartnerControls"/>
    <ds:schemaRef ds:uri="e1c74cfd-b649-4c37-b86b-536fbf87245a"/>
    <ds:schemaRef ds:uri="8fbabf58-131e-4c6e-a68d-4109173993ea"/>
  </ds:schemaRefs>
</ds:datastoreItem>
</file>

<file path=customXml/itemProps5.xml><?xml version="1.0" encoding="utf-8"?>
<ds:datastoreItem xmlns:ds="http://schemas.openxmlformats.org/officeDocument/2006/customXml" ds:itemID="{8A197D59-4D9F-4700-BA38-EEBECD440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637</Words>
  <Characters>3635</Characters>
  <Application>Microsoft Office Word</Application>
  <DocSecurity>0</DocSecurity>
  <Lines>30</Lines>
  <Paragraphs>8</Paragraphs>
  <ScaleCrop>false</ScaleCrop>
  <Company>U.S. Department of Energy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gadburc</dc:creator>
  <cp:keywords/>
  <dc:description/>
  <cp:lastModifiedBy>Myers, John</cp:lastModifiedBy>
  <cp:revision>26</cp:revision>
  <cp:lastPrinted>2018-05-03T22:08:00Z</cp:lastPrinted>
  <dcterms:created xsi:type="dcterms:W3CDTF">2022-11-16T06:26:00Z</dcterms:created>
  <dcterms:modified xsi:type="dcterms:W3CDTF">2023-11-20T15:45:00Z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0x0101006360D4C3180B74499FC803AF019113E8</vt:lpwstr>
  </property>
  <property fmtid="{D5CDD505-2E9C-101B-9397-08002B2CF9AE}" pid="3" name="Order">
    <vt:r8>11076200</vt:r8>
  </property>
  <property fmtid="{D5CDD505-2E9C-101B-9397-08002B2CF9AE}" pid="4" name="_dlc_DocIdItemGuid">
    <vt:lpwstr>0d89fc72-698d-4ba5-b359-7db4d79f028d</vt:lpwstr>
  </property>
  <property fmtid="{D5CDD505-2E9C-101B-9397-08002B2CF9AE}" pid="5" name="MediaServiceImageTags">
    <vt:lpwstr/>
  </property>
</Properties>
</file>